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5648" w14:textId="6F32E9BD" w:rsidR="00DC618C" w:rsidRPr="009D20C2" w:rsidRDefault="00DC618C" w:rsidP="00DC618C">
      <w:pPr>
        <w:spacing w:after="0" w:line="240" w:lineRule="auto"/>
        <w:jc w:val="center"/>
        <w:rPr>
          <w:b/>
          <w:bCs/>
        </w:rPr>
      </w:pPr>
      <w:r w:rsidRPr="009D20C2">
        <w:rPr>
          <w:b/>
          <w:bCs/>
        </w:rPr>
        <w:t>202</w:t>
      </w:r>
      <w:r w:rsidR="00012C03">
        <w:rPr>
          <w:b/>
          <w:bCs/>
        </w:rPr>
        <w:t>6</w:t>
      </w:r>
      <w:r w:rsidRPr="009D20C2">
        <w:rPr>
          <w:b/>
          <w:bCs/>
        </w:rPr>
        <w:t xml:space="preserve"> APEC Bio-Circular-Green (BCG) Award</w:t>
      </w:r>
    </w:p>
    <w:p w14:paraId="6959BF4D" w14:textId="77777777" w:rsidR="00DC618C" w:rsidRPr="009D20C2" w:rsidRDefault="00DC618C" w:rsidP="00DC618C">
      <w:pPr>
        <w:spacing w:after="0" w:line="240" w:lineRule="auto"/>
        <w:jc w:val="both"/>
      </w:pPr>
    </w:p>
    <w:p w14:paraId="330CE130" w14:textId="77777777" w:rsidR="00DC618C" w:rsidRPr="009D20C2" w:rsidRDefault="00DC618C" w:rsidP="00DC618C">
      <w:pPr>
        <w:spacing w:after="0" w:line="240" w:lineRule="auto"/>
        <w:jc w:val="both"/>
        <w:rPr>
          <w:b/>
          <w:bCs/>
        </w:rPr>
      </w:pPr>
      <w:r w:rsidRPr="009D20C2">
        <w:rPr>
          <w:b/>
          <w:bCs/>
        </w:rPr>
        <w:t>Overview</w:t>
      </w:r>
    </w:p>
    <w:p w14:paraId="1027BDB7" w14:textId="77777777" w:rsidR="00DC618C" w:rsidRPr="009D20C2" w:rsidRDefault="00DC618C" w:rsidP="00DC618C">
      <w:pPr>
        <w:spacing w:after="0" w:line="240" w:lineRule="auto"/>
        <w:jc w:val="both"/>
      </w:pPr>
    </w:p>
    <w:p w14:paraId="4EE3AC7A" w14:textId="089F4E39" w:rsidR="00E920D5" w:rsidRDefault="00DC618C" w:rsidP="00DC618C">
      <w:pPr>
        <w:spacing w:after="0" w:line="240" w:lineRule="auto"/>
        <w:jc w:val="both"/>
      </w:pPr>
      <w:r w:rsidRPr="009D20C2">
        <w:t>In November 2022, the SCE endorsed a project proposal to establish the APEC Bio-Circular- Green (BCG) Award, co-proposed by Canada; China</w:t>
      </w:r>
      <w:r w:rsidR="00E920D5" w:rsidRPr="009D20C2">
        <w:t>;</w:t>
      </w:r>
      <w:r w:rsidRPr="009D20C2">
        <w:t xml:space="preserve"> and Thailand</w:t>
      </w:r>
      <w:r w:rsidR="00E920D5">
        <w:t xml:space="preserve">. In </w:t>
      </w:r>
      <w:r w:rsidR="00E920D5" w:rsidRPr="009D20C2">
        <w:t>April</w:t>
      </w:r>
      <w:r w:rsidR="00E920D5">
        <w:t xml:space="preserve"> 2026, the SCE endorsed an updated project proposal, </w:t>
      </w:r>
      <w:r w:rsidR="00E920D5" w:rsidRPr="009D20C2">
        <w:t>co-proposed by Canada; China; and Thailand</w:t>
      </w:r>
      <w:r w:rsidR="00E920D5">
        <w:t>; and co-sponsored by Hong Kong, China</w:t>
      </w:r>
      <w:r w:rsidR="00E920D5" w:rsidRPr="009D20C2">
        <w:t>;</w:t>
      </w:r>
      <w:r w:rsidR="00E920D5">
        <w:t xml:space="preserve"> New Zealand</w:t>
      </w:r>
      <w:r w:rsidR="00E920D5" w:rsidRPr="009D20C2">
        <w:t>;</w:t>
      </w:r>
      <w:r w:rsidR="00E920D5">
        <w:t xml:space="preserve"> and Peru. </w:t>
      </w:r>
    </w:p>
    <w:p w14:paraId="7162A316" w14:textId="77777777" w:rsidR="00E920D5" w:rsidRDefault="00E920D5" w:rsidP="00DC618C">
      <w:pPr>
        <w:spacing w:after="0" w:line="240" w:lineRule="auto"/>
        <w:jc w:val="both"/>
      </w:pPr>
    </w:p>
    <w:p w14:paraId="50E87065" w14:textId="07D33506" w:rsidR="00DC618C" w:rsidRPr="009D20C2" w:rsidRDefault="00DC618C" w:rsidP="00DC618C">
      <w:pPr>
        <w:spacing w:after="0" w:line="240" w:lineRule="auto"/>
        <w:jc w:val="both"/>
      </w:pPr>
      <w:r w:rsidRPr="009D20C2">
        <w:t xml:space="preserve">The APEC BCG Award recognises distinguished </w:t>
      </w:r>
      <w:r w:rsidR="00BF5C26">
        <w:t>MSMEs</w:t>
      </w:r>
      <w:r w:rsidR="008A3217">
        <w:t>, as key drivers</w:t>
      </w:r>
      <w:r w:rsidR="00BF5C26">
        <w:t xml:space="preserve"> </w:t>
      </w:r>
      <w:r w:rsidR="00E920D5">
        <w:t>within APEC economies</w:t>
      </w:r>
      <w:r w:rsidR="00F820F2">
        <w:t>,</w:t>
      </w:r>
      <w:r w:rsidR="00E920D5">
        <w:t xml:space="preserve"> that </w:t>
      </w:r>
      <w:r w:rsidRPr="009D20C2">
        <w:t xml:space="preserve">have concretely implemented BCG economy approaches to advance </w:t>
      </w:r>
      <w:r w:rsidR="00BF5C26">
        <w:t xml:space="preserve">economic </w:t>
      </w:r>
      <w:r w:rsidRPr="009D20C2">
        <w:t>growth</w:t>
      </w:r>
      <w:r w:rsidR="008A3217">
        <w:t>, to serve as inspirations for the wider communities, and to provide replicable examples that can be applied elsewhere.</w:t>
      </w:r>
      <w:r w:rsidR="00E920D5">
        <w:t xml:space="preserve"> </w:t>
      </w:r>
    </w:p>
    <w:p w14:paraId="002CC2B7" w14:textId="77777777" w:rsidR="00DC618C" w:rsidRPr="009D20C2" w:rsidRDefault="00DC618C" w:rsidP="00DC618C">
      <w:pPr>
        <w:spacing w:after="0" w:line="240" w:lineRule="auto"/>
        <w:jc w:val="both"/>
      </w:pPr>
    </w:p>
    <w:p w14:paraId="572ADB4B" w14:textId="2E6AA650" w:rsidR="00DC618C" w:rsidRPr="009D20C2" w:rsidRDefault="003523C2" w:rsidP="00DC618C">
      <w:pPr>
        <w:spacing w:after="0" w:line="240" w:lineRule="auto"/>
        <w:jc w:val="both"/>
      </w:pPr>
      <w:r w:rsidRPr="003523C2">
        <w:t>The BCG Economy Model cuts across the three economic drivers and provides an approach to holistically implement the APEC Putrajaya Vision 2040 including through the Aotearoa Plan of Action. It focuses on synergising efforts on economic growth, leveraging science, technology and innovation (STI) and collaboration among stakeholders</w:t>
      </w:r>
    </w:p>
    <w:p w14:paraId="41D8729E" w14:textId="77777777" w:rsidR="00DC618C" w:rsidRPr="009D20C2" w:rsidRDefault="00DC618C" w:rsidP="00DC618C">
      <w:pPr>
        <w:spacing w:after="0" w:line="240" w:lineRule="auto"/>
        <w:jc w:val="both"/>
      </w:pPr>
    </w:p>
    <w:p w14:paraId="7F58CE1E" w14:textId="32019DC5" w:rsidR="00DC618C" w:rsidRPr="009D20C2" w:rsidRDefault="00DC618C" w:rsidP="00DC618C">
      <w:pPr>
        <w:spacing w:after="0" w:line="240" w:lineRule="auto"/>
        <w:jc w:val="both"/>
      </w:pPr>
      <w:r w:rsidRPr="009D20C2">
        <w:t xml:space="preserve">Each member economy, </w:t>
      </w:r>
      <w:r w:rsidRPr="00012C03">
        <w:rPr>
          <w:u w:val="single"/>
        </w:rPr>
        <w:t>through its representative in the SCE</w:t>
      </w:r>
      <w:r w:rsidRPr="009D20C2">
        <w:t xml:space="preserve">, </w:t>
      </w:r>
      <w:r w:rsidR="00DB637C">
        <w:t xml:space="preserve">on a voluntary basis, </w:t>
      </w:r>
      <w:r w:rsidRPr="009D20C2">
        <w:t xml:space="preserve">is invited to </w:t>
      </w:r>
      <w:r w:rsidR="00370868">
        <w:t xml:space="preserve">submit up to three nominations. </w:t>
      </w:r>
    </w:p>
    <w:p w14:paraId="0CE8563A" w14:textId="77777777" w:rsidR="00DC618C" w:rsidRPr="009D20C2" w:rsidRDefault="00DC618C" w:rsidP="00DC618C">
      <w:pPr>
        <w:spacing w:after="0" w:line="240" w:lineRule="auto"/>
        <w:jc w:val="both"/>
      </w:pPr>
    </w:p>
    <w:p w14:paraId="4840B654" w14:textId="1D99A5BB" w:rsidR="00DC618C" w:rsidRPr="009D20C2" w:rsidRDefault="00DC618C" w:rsidP="00DC618C">
      <w:pPr>
        <w:spacing w:after="0" w:line="240" w:lineRule="auto"/>
        <w:jc w:val="both"/>
      </w:pPr>
      <w:r w:rsidRPr="009D20C2">
        <w:t>Nominations must meet the following eligibility criteria:</w:t>
      </w:r>
    </w:p>
    <w:p w14:paraId="759F8463" w14:textId="77777777" w:rsidR="00DC618C" w:rsidRPr="009D20C2" w:rsidRDefault="00DC618C" w:rsidP="00DC618C">
      <w:pPr>
        <w:spacing w:after="0" w:line="240" w:lineRule="auto"/>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9"/>
      </w:tblGrid>
      <w:tr w:rsidR="00370868" w:rsidRPr="009D20C2" w14:paraId="6CEC0B0F" w14:textId="77777777" w:rsidTr="00021709">
        <w:trPr>
          <w:trHeight w:val="258"/>
        </w:trPr>
        <w:tc>
          <w:tcPr>
            <w:tcW w:w="8789" w:type="dxa"/>
            <w:shd w:val="clear" w:color="auto" w:fill="BFBFBF" w:themeFill="background1" w:themeFillShade="BF"/>
          </w:tcPr>
          <w:p w14:paraId="3F24415B" w14:textId="0295616E" w:rsidR="00370868" w:rsidRPr="009D20C2" w:rsidRDefault="00DB637C" w:rsidP="007E4FD0">
            <w:pPr>
              <w:pStyle w:val="TableParagraph"/>
              <w:spacing w:line="239" w:lineRule="exact"/>
              <w:ind w:left="454" w:right="963"/>
              <w:jc w:val="center"/>
              <w:rPr>
                <w:rFonts w:asciiTheme="minorHAnsi" w:hAnsiTheme="minorHAnsi"/>
                <w:b/>
              </w:rPr>
            </w:pPr>
            <w:r>
              <w:rPr>
                <w:rFonts w:asciiTheme="minorHAnsi" w:hAnsiTheme="minorHAnsi"/>
                <w:b/>
                <w:lang w:val="es-PE"/>
              </w:rPr>
              <w:t xml:space="preserve">Category: </w:t>
            </w:r>
            <w:r w:rsidR="00370868" w:rsidRPr="009D20C2">
              <w:rPr>
                <w:rFonts w:asciiTheme="minorHAnsi" w:hAnsiTheme="minorHAnsi"/>
                <w:b/>
              </w:rPr>
              <w:t>MSMEs</w:t>
            </w:r>
          </w:p>
        </w:tc>
      </w:tr>
      <w:tr w:rsidR="00370868" w:rsidRPr="009D20C2" w14:paraId="18311789" w14:textId="77777777" w:rsidTr="00DB637C">
        <w:trPr>
          <w:trHeight w:val="355"/>
        </w:trPr>
        <w:tc>
          <w:tcPr>
            <w:tcW w:w="8789" w:type="dxa"/>
            <w:vAlign w:val="center"/>
          </w:tcPr>
          <w:p w14:paraId="2ADA6A69" w14:textId="77777777" w:rsidR="00370868" w:rsidRPr="00F11E41" w:rsidRDefault="00370868" w:rsidP="00DB637C">
            <w:pPr>
              <w:pStyle w:val="TableParagraph"/>
              <w:spacing w:line="225" w:lineRule="auto"/>
              <w:ind w:right="257"/>
              <w:jc w:val="center"/>
              <w:rPr>
                <w:rFonts w:asciiTheme="minorHAnsi" w:hAnsiTheme="minorHAnsi"/>
                <w:lang w:val="en-US"/>
              </w:rPr>
            </w:pPr>
            <w:r w:rsidRPr="00340EE0">
              <w:rPr>
                <w:rFonts w:asciiTheme="minorHAnsi" w:hAnsiTheme="minorHAnsi"/>
                <w:b/>
                <w:bCs/>
                <w:lang w:val="en-US"/>
              </w:rPr>
              <w:t>Number of Employees</w:t>
            </w:r>
            <w:r w:rsidRPr="00F11E41">
              <w:rPr>
                <w:rFonts w:asciiTheme="minorHAnsi" w:hAnsiTheme="minorHAnsi"/>
                <w:lang w:val="en-US"/>
              </w:rPr>
              <w:t>: Not over 500.</w:t>
            </w:r>
          </w:p>
        </w:tc>
      </w:tr>
      <w:tr w:rsidR="00DC618C" w:rsidRPr="009D20C2" w14:paraId="4E72F263" w14:textId="77777777" w:rsidTr="007E4FD0">
        <w:trPr>
          <w:trHeight w:val="254"/>
        </w:trPr>
        <w:tc>
          <w:tcPr>
            <w:tcW w:w="8789" w:type="dxa"/>
          </w:tcPr>
          <w:p w14:paraId="2E60B0FF" w14:textId="77777777" w:rsidR="00DC618C" w:rsidRPr="00F11E41" w:rsidRDefault="00DC618C" w:rsidP="007E4FD0">
            <w:pPr>
              <w:pStyle w:val="TableParagraph"/>
              <w:spacing w:line="234" w:lineRule="exact"/>
              <w:ind w:left="1074" w:right="1074"/>
              <w:jc w:val="center"/>
              <w:rPr>
                <w:rFonts w:asciiTheme="minorHAnsi" w:hAnsiTheme="minorHAnsi"/>
                <w:lang w:val="en-US"/>
              </w:rPr>
            </w:pPr>
            <w:r w:rsidRPr="00F11E41">
              <w:rPr>
                <w:rFonts w:asciiTheme="minorHAnsi" w:hAnsiTheme="minorHAnsi"/>
                <w:lang w:val="en-US"/>
              </w:rPr>
              <w:t>In operation for at a minimum of one calendar year.</w:t>
            </w:r>
          </w:p>
        </w:tc>
      </w:tr>
      <w:tr w:rsidR="00DC618C" w:rsidRPr="009D20C2" w14:paraId="16CA3B39" w14:textId="77777777" w:rsidTr="00DB637C">
        <w:trPr>
          <w:trHeight w:val="435"/>
        </w:trPr>
        <w:tc>
          <w:tcPr>
            <w:tcW w:w="8789" w:type="dxa"/>
            <w:vAlign w:val="center"/>
          </w:tcPr>
          <w:p w14:paraId="2AC9B24F" w14:textId="27D5F6AF" w:rsidR="00DC618C" w:rsidRPr="00F11E41" w:rsidRDefault="00DB637C" w:rsidP="00DB637C">
            <w:pPr>
              <w:pStyle w:val="TableParagraph"/>
              <w:spacing w:line="260" w:lineRule="exact"/>
              <w:ind w:left="3780" w:hanging="3445"/>
              <w:jc w:val="center"/>
              <w:rPr>
                <w:rFonts w:asciiTheme="minorHAnsi" w:hAnsiTheme="minorHAnsi"/>
                <w:lang w:val="en-US"/>
              </w:rPr>
            </w:pPr>
            <w:r>
              <w:rPr>
                <w:rFonts w:asciiTheme="minorHAnsi" w:hAnsiTheme="minorHAnsi"/>
                <w:lang w:val="en-US"/>
              </w:rPr>
              <w:t>O</w:t>
            </w:r>
            <w:r w:rsidR="00DC618C" w:rsidRPr="00F11E41">
              <w:rPr>
                <w:rFonts w:asciiTheme="minorHAnsi" w:hAnsiTheme="minorHAnsi"/>
                <w:lang w:val="en-US"/>
              </w:rPr>
              <w:t>wn and operate a business in the nominating APEC economy.</w:t>
            </w:r>
          </w:p>
        </w:tc>
      </w:tr>
      <w:tr w:rsidR="00DC618C" w:rsidRPr="009D20C2" w14:paraId="4F8A9EED" w14:textId="77777777" w:rsidTr="007E4FD0">
        <w:trPr>
          <w:trHeight w:val="257"/>
        </w:trPr>
        <w:tc>
          <w:tcPr>
            <w:tcW w:w="8789" w:type="dxa"/>
          </w:tcPr>
          <w:p w14:paraId="674EA7DC" w14:textId="77777777" w:rsidR="00DC618C" w:rsidRPr="00F11E41" w:rsidRDefault="00DC618C" w:rsidP="007E4FD0">
            <w:pPr>
              <w:pStyle w:val="TableParagraph"/>
              <w:spacing w:line="237" w:lineRule="exact"/>
              <w:ind w:left="1081" w:right="1074"/>
              <w:jc w:val="center"/>
              <w:rPr>
                <w:rFonts w:asciiTheme="minorHAnsi" w:hAnsiTheme="minorHAnsi"/>
                <w:lang w:val="en-US"/>
              </w:rPr>
            </w:pPr>
            <w:r w:rsidRPr="00F11E41">
              <w:rPr>
                <w:rFonts w:asciiTheme="minorHAnsi" w:hAnsiTheme="minorHAnsi"/>
                <w:lang w:val="en-US"/>
              </w:rPr>
              <w:t>Represent a replicable BCG business model/approach/activity(ies).</w:t>
            </w:r>
          </w:p>
        </w:tc>
      </w:tr>
    </w:tbl>
    <w:p w14:paraId="2BE05048" w14:textId="77777777" w:rsidR="00DC618C" w:rsidRPr="009D20C2" w:rsidRDefault="00DC618C" w:rsidP="00DC618C">
      <w:pPr>
        <w:spacing w:after="0" w:line="240" w:lineRule="auto"/>
        <w:jc w:val="both"/>
      </w:pPr>
    </w:p>
    <w:p w14:paraId="5CECB724" w14:textId="5665602E" w:rsidR="00DC618C" w:rsidRPr="009D20C2" w:rsidRDefault="00DC618C" w:rsidP="00DC618C">
      <w:pPr>
        <w:spacing w:after="0" w:line="240" w:lineRule="auto"/>
        <w:jc w:val="both"/>
      </w:pPr>
      <w:r w:rsidRPr="009D20C2">
        <w:t>In addition to advancing implementation on BCG Economy, member economies are also encouraged to submit nominations in support of the APEC 202</w:t>
      </w:r>
      <w:r w:rsidR="00DF2C5A">
        <w:t>6</w:t>
      </w:r>
      <w:r w:rsidRPr="009D20C2">
        <w:t xml:space="preserve"> theme “</w:t>
      </w:r>
      <w:r w:rsidR="007B6F64">
        <w:t>Building an Asia-Pacific Community to Prosper Together</w:t>
      </w:r>
      <w:r w:rsidRPr="009D20C2">
        <w:t>.”</w:t>
      </w:r>
    </w:p>
    <w:p w14:paraId="003AC4C9" w14:textId="77777777" w:rsidR="00DC618C" w:rsidRPr="009D20C2" w:rsidRDefault="00DC618C" w:rsidP="00DC618C">
      <w:pPr>
        <w:spacing w:after="0" w:line="240" w:lineRule="auto"/>
        <w:jc w:val="both"/>
      </w:pPr>
    </w:p>
    <w:p w14:paraId="577CF0FA" w14:textId="51F35671" w:rsidR="00DC618C" w:rsidRDefault="00DC618C" w:rsidP="00783D8C">
      <w:pPr>
        <w:spacing w:after="0" w:line="240" w:lineRule="auto"/>
        <w:jc w:val="both"/>
      </w:pPr>
      <w:r w:rsidRPr="009D20C2">
        <w:t xml:space="preserve">Nominations should be submitted </w:t>
      </w:r>
      <w:hyperlink r:id="rId7" w:history="1">
        <w:r w:rsidR="006F6E8B" w:rsidRPr="006F6E8B">
          <w:rPr>
            <w:rStyle w:val="Hyperlink"/>
          </w:rPr>
          <w:t>via the following link</w:t>
        </w:r>
      </w:hyperlink>
      <w:r w:rsidRPr="009D20C2">
        <w:t xml:space="preserve"> from </w:t>
      </w:r>
      <w:r w:rsidR="0095691A" w:rsidRPr="00E94D3E">
        <w:rPr>
          <w:b/>
          <w:bCs/>
          <w:highlight w:val="yellow"/>
        </w:rPr>
        <w:t>13</w:t>
      </w:r>
      <w:r w:rsidR="002B2D76" w:rsidRPr="00E94D3E">
        <w:rPr>
          <w:b/>
          <w:bCs/>
          <w:highlight w:val="yellow"/>
        </w:rPr>
        <w:t xml:space="preserve"> April </w:t>
      </w:r>
      <w:r w:rsidRPr="00E94D3E">
        <w:rPr>
          <w:b/>
          <w:bCs/>
          <w:highlight w:val="yellow"/>
        </w:rPr>
        <w:t>202</w:t>
      </w:r>
      <w:r w:rsidR="00FD53B0" w:rsidRPr="00E94D3E">
        <w:rPr>
          <w:b/>
          <w:bCs/>
          <w:highlight w:val="yellow"/>
        </w:rPr>
        <w:t>6</w:t>
      </w:r>
      <w:r w:rsidRPr="009D20C2">
        <w:rPr>
          <w:b/>
          <w:bCs/>
        </w:rPr>
        <w:t xml:space="preserve"> to no later than </w:t>
      </w:r>
      <w:r w:rsidR="00DD3BF0">
        <w:rPr>
          <w:b/>
          <w:bCs/>
          <w:highlight w:val="yellow"/>
        </w:rPr>
        <w:t>17</w:t>
      </w:r>
      <w:r w:rsidRPr="00032A8F">
        <w:rPr>
          <w:b/>
          <w:bCs/>
          <w:highlight w:val="yellow"/>
        </w:rPr>
        <w:t xml:space="preserve"> </w:t>
      </w:r>
      <w:r w:rsidR="00DD3BF0">
        <w:rPr>
          <w:b/>
          <w:bCs/>
          <w:highlight w:val="yellow"/>
        </w:rPr>
        <w:t>July</w:t>
      </w:r>
      <w:r w:rsidRPr="00032A8F">
        <w:rPr>
          <w:b/>
          <w:bCs/>
          <w:highlight w:val="yellow"/>
        </w:rPr>
        <w:t xml:space="preserve"> 202</w:t>
      </w:r>
      <w:r w:rsidR="0030203B" w:rsidRPr="00032A8F">
        <w:rPr>
          <w:b/>
          <w:bCs/>
          <w:highlight w:val="yellow"/>
        </w:rPr>
        <w:t>6</w:t>
      </w:r>
      <w:r w:rsidRPr="00032A8F">
        <w:rPr>
          <w:highlight w:val="yellow"/>
        </w:rPr>
        <w:t>.</w:t>
      </w:r>
      <w:r w:rsidRPr="009D20C2">
        <w:t xml:space="preserve"> </w:t>
      </w:r>
      <w:r w:rsidR="00783D8C" w:rsidRPr="00783D8C">
        <w:t>Please identify the folder corresponding to each APEC economy.</w:t>
      </w:r>
      <w:r w:rsidR="00783D8C">
        <w:t xml:space="preserve"> </w:t>
      </w:r>
      <w:r w:rsidRPr="009D20C2">
        <w:t xml:space="preserve"> All eligible nominees will be sent to the Selection Committee for consideration.</w:t>
      </w:r>
    </w:p>
    <w:p w14:paraId="7A847CE9" w14:textId="77777777" w:rsidR="00A22A96" w:rsidRPr="009D20C2" w:rsidRDefault="00A22A96" w:rsidP="00DC618C">
      <w:pPr>
        <w:spacing w:after="0" w:line="240" w:lineRule="auto"/>
        <w:jc w:val="both"/>
      </w:pPr>
    </w:p>
    <w:p w14:paraId="6F358839" w14:textId="77777777" w:rsidR="00DC618C" w:rsidRPr="009D20C2" w:rsidRDefault="00DC618C" w:rsidP="00DC618C">
      <w:pPr>
        <w:spacing w:after="0" w:line="240" w:lineRule="auto"/>
        <w:jc w:val="both"/>
        <w:rPr>
          <w:b/>
          <w:bCs/>
        </w:rPr>
      </w:pPr>
      <w:r w:rsidRPr="009D20C2">
        <w:rPr>
          <w:b/>
          <w:bCs/>
        </w:rPr>
        <w:t>Selection Process</w:t>
      </w:r>
    </w:p>
    <w:p w14:paraId="242D5970" w14:textId="77777777" w:rsidR="00DC618C" w:rsidRPr="009D20C2" w:rsidRDefault="00DC618C" w:rsidP="00DC618C">
      <w:pPr>
        <w:spacing w:after="0" w:line="240" w:lineRule="auto"/>
        <w:jc w:val="both"/>
      </w:pPr>
    </w:p>
    <w:p w14:paraId="73B7F800" w14:textId="6E152435" w:rsidR="00DC618C" w:rsidRPr="009D20C2" w:rsidRDefault="00DC618C" w:rsidP="00DC618C">
      <w:pPr>
        <w:spacing w:after="0" w:line="240" w:lineRule="auto"/>
        <w:jc w:val="both"/>
      </w:pPr>
      <w:r w:rsidRPr="009D20C2">
        <w:t xml:space="preserve">Once nominations are received, the Selection Committee will rank the nominees to determine the </w:t>
      </w:r>
      <w:r w:rsidR="00DB637C">
        <w:t xml:space="preserve">three </w:t>
      </w:r>
      <w:r w:rsidRPr="009D20C2">
        <w:t>winner</w:t>
      </w:r>
      <w:r w:rsidR="00DB637C">
        <w:t>(s).</w:t>
      </w:r>
    </w:p>
    <w:p w14:paraId="73B21D98" w14:textId="77777777" w:rsidR="00DC618C" w:rsidRPr="009D20C2" w:rsidRDefault="00DC618C" w:rsidP="00DC618C">
      <w:pPr>
        <w:spacing w:after="0" w:line="240" w:lineRule="auto"/>
        <w:jc w:val="both"/>
      </w:pPr>
    </w:p>
    <w:p w14:paraId="13264B54" w14:textId="1F53A07C" w:rsidR="00DC618C" w:rsidRPr="009D20C2" w:rsidRDefault="00DC618C" w:rsidP="00DC618C">
      <w:pPr>
        <w:spacing w:after="0" w:line="240" w:lineRule="auto"/>
        <w:jc w:val="both"/>
      </w:pPr>
      <w:r w:rsidRPr="009D20C2">
        <w:t>The Selection Committee for the 202</w:t>
      </w:r>
      <w:r w:rsidR="0030203B">
        <w:t>6</w:t>
      </w:r>
      <w:r w:rsidRPr="009D20C2">
        <w:t xml:space="preserve"> APEC BCG Award comprises Senior Officials or representatives </w:t>
      </w:r>
      <w:r w:rsidR="006F6E8B" w:rsidRPr="009D20C2">
        <w:t xml:space="preserve">from </w:t>
      </w:r>
      <w:r w:rsidR="00EA3CAD" w:rsidRPr="009D20C2">
        <w:t>Republic of Korea</w:t>
      </w:r>
      <w:r w:rsidRPr="009D20C2">
        <w:t xml:space="preserve"> (previous host economy); </w:t>
      </w:r>
      <w:r w:rsidR="00EA3CAD">
        <w:t>China</w:t>
      </w:r>
      <w:r w:rsidR="00636C11" w:rsidRPr="009D20C2">
        <w:t xml:space="preserve"> (</w:t>
      </w:r>
      <w:r w:rsidRPr="009D20C2">
        <w:t xml:space="preserve">current host economy); </w:t>
      </w:r>
      <w:r w:rsidR="00EA3CAD">
        <w:t>Viet Nam</w:t>
      </w:r>
      <w:r w:rsidRPr="009D20C2">
        <w:t xml:space="preserve"> (incoming host economy); </w:t>
      </w:r>
      <w:r w:rsidR="00DB637C">
        <w:t>Canada</w:t>
      </w:r>
      <w:r w:rsidR="00DB637C">
        <w:rPr>
          <w:lang w:val="en-US"/>
        </w:rPr>
        <w:t xml:space="preserve">; </w:t>
      </w:r>
      <w:r w:rsidR="003022D2">
        <w:t>Hong Kong, China</w:t>
      </w:r>
      <w:r w:rsidR="00DB637C">
        <w:t xml:space="preserve">; Thailand; </w:t>
      </w:r>
      <w:r w:rsidRPr="009D20C2">
        <w:t xml:space="preserve">APEC Executive Director, the Policy Support Unit Director, and </w:t>
      </w:r>
      <w:r w:rsidR="00636C11" w:rsidRPr="009D20C2">
        <w:t xml:space="preserve">a </w:t>
      </w:r>
      <w:r w:rsidR="00A22A96" w:rsidRPr="009D20C2">
        <w:t>representative from</w:t>
      </w:r>
      <w:r w:rsidRPr="009D20C2">
        <w:t xml:space="preserve"> the ABAC Secretariat.</w:t>
      </w:r>
    </w:p>
    <w:p w14:paraId="3F2499C7" w14:textId="77777777" w:rsidR="00DC618C" w:rsidRPr="009D20C2" w:rsidRDefault="00DC618C" w:rsidP="00DC618C">
      <w:pPr>
        <w:spacing w:after="0" w:line="240" w:lineRule="auto"/>
        <w:jc w:val="both"/>
      </w:pPr>
    </w:p>
    <w:p w14:paraId="510A860E" w14:textId="4756886D" w:rsidR="00DC618C" w:rsidRPr="009D20C2" w:rsidRDefault="00DC618C" w:rsidP="00DC618C">
      <w:pPr>
        <w:spacing w:after="0" w:line="240" w:lineRule="auto"/>
        <w:jc w:val="both"/>
      </w:pPr>
      <w:r w:rsidRPr="009D20C2">
        <w:t xml:space="preserve">The SCE Program Director will collate the rankings from the Selection Committee scorecards received. </w:t>
      </w:r>
    </w:p>
    <w:p w14:paraId="1BC5AA98" w14:textId="77777777" w:rsidR="00DC618C" w:rsidRPr="009D20C2" w:rsidRDefault="00DC618C" w:rsidP="00DC618C">
      <w:pPr>
        <w:spacing w:after="0" w:line="240" w:lineRule="auto"/>
        <w:jc w:val="both"/>
      </w:pPr>
    </w:p>
    <w:p w14:paraId="092E4517" w14:textId="4279CBA5" w:rsidR="00DC618C" w:rsidRPr="009D20C2" w:rsidRDefault="00DC618C" w:rsidP="00DC618C">
      <w:pPr>
        <w:spacing w:after="0" w:line="240" w:lineRule="auto"/>
        <w:jc w:val="both"/>
      </w:pPr>
      <w:r w:rsidRPr="009D20C2">
        <w:t>The top-ranked nominee</w:t>
      </w:r>
      <w:r w:rsidR="00047C2E">
        <w:t>(s)</w:t>
      </w:r>
      <w:r w:rsidRPr="009D20C2">
        <w:t xml:space="preserve"> will be considered the Award winner</w:t>
      </w:r>
      <w:r w:rsidR="00047C2E">
        <w:t>(s)</w:t>
      </w:r>
      <w:r w:rsidRPr="009D20C2">
        <w:t>.</w:t>
      </w:r>
    </w:p>
    <w:p w14:paraId="4F1D3BDA" w14:textId="77777777" w:rsidR="00DC618C" w:rsidRPr="009D20C2" w:rsidRDefault="00DC618C" w:rsidP="00DC618C">
      <w:pPr>
        <w:spacing w:after="0" w:line="240" w:lineRule="auto"/>
        <w:jc w:val="both"/>
      </w:pPr>
    </w:p>
    <w:p w14:paraId="2F8DF263" w14:textId="2FDD37FC" w:rsidR="00DC618C" w:rsidRPr="009D20C2" w:rsidRDefault="00DC618C" w:rsidP="00D32C61">
      <w:pPr>
        <w:spacing w:after="0" w:line="240" w:lineRule="auto"/>
        <w:jc w:val="both"/>
      </w:pPr>
      <w:r w:rsidRPr="009D20C2">
        <w:lastRenderedPageBreak/>
        <w:t>The Award winner will be announced at the 202</w:t>
      </w:r>
      <w:r w:rsidR="002072C2">
        <w:t>6</w:t>
      </w:r>
      <w:r w:rsidRPr="009D20C2">
        <w:t xml:space="preserve"> </w:t>
      </w:r>
      <w:r w:rsidR="00D32C61" w:rsidRPr="00D32C61">
        <w:t>Concluding Senior Officials’ Meeting</w:t>
      </w:r>
      <w:r w:rsidR="00D32C61">
        <w:t xml:space="preserve"> (CSOM) </w:t>
      </w:r>
      <w:r w:rsidRPr="009D20C2">
        <w:t xml:space="preserve">scheduled to be held </w:t>
      </w:r>
      <w:r w:rsidR="00D32C61">
        <w:t>in mid-November</w:t>
      </w:r>
      <w:r w:rsidRPr="009D20C2">
        <w:t xml:space="preserve"> in </w:t>
      </w:r>
      <w:r w:rsidR="00D32C61">
        <w:t>Shenzhen</w:t>
      </w:r>
      <w:r w:rsidRPr="009D20C2">
        <w:t xml:space="preserve">, </w:t>
      </w:r>
      <w:r w:rsidR="00402EFD">
        <w:t>China</w:t>
      </w:r>
      <w:r w:rsidRPr="009D20C2">
        <w:t>. The Award winner will also be featured on the Bangkok Goals and APEC websites.</w:t>
      </w:r>
    </w:p>
    <w:p w14:paraId="739891C9" w14:textId="77777777" w:rsidR="00DC618C" w:rsidRDefault="00DC618C" w:rsidP="00D32C61">
      <w:pPr>
        <w:spacing w:after="0" w:line="240" w:lineRule="auto"/>
        <w:ind w:left="720" w:hanging="720"/>
        <w:jc w:val="both"/>
      </w:pPr>
    </w:p>
    <w:p w14:paraId="59B75FC3" w14:textId="77777777" w:rsidR="00D32C61" w:rsidRPr="009D20C2" w:rsidRDefault="00D32C61" w:rsidP="00D32C61">
      <w:pPr>
        <w:spacing w:after="0" w:line="240" w:lineRule="auto"/>
        <w:ind w:left="720" w:hanging="720"/>
        <w:jc w:val="both"/>
      </w:pPr>
    </w:p>
    <w:p w14:paraId="3F1DB359" w14:textId="77777777" w:rsidR="00DC618C" w:rsidRPr="009D20C2" w:rsidRDefault="00DC618C" w:rsidP="00DC618C">
      <w:pPr>
        <w:spacing w:after="0" w:line="240" w:lineRule="auto"/>
        <w:jc w:val="both"/>
        <w:rPr>
          <w:b/>
          <w:bCs/>
        </w:rPr>
      </w:pPr>
      <w:r w:rsidRPr="009D20C2">
        <w:rPr>
          <w:b/>
          <w:bCs/>
        </w:rPr>
        <w:t>Prize Money, Financial Contributions and Management</w:t>
      </w:r>
    </w:p>
    <w:p w14:paraId="4A264FE4" w14:textId="77777777" w:rsidR="00DC618C" w:rsidRPr="009D20C2" w:rsidRDefault="00DC618C" w:rsidP="00DC618C">
      <w:pPr>
        <w:spacing w:after="0" w:line="240" w:lineRule="auto"/>
        <w:jc w:val="both"/>
      </w:pPr>
    </w:p>
    <w:p w14:paraId="71762363" w14:textId="6912AB8E" w:rsidR="00DC618C" w:rsidRPr="009D20C2" w:rsidRDefault="00D32C61" w:rsidP="00DC618C">
      <w:pPr>
        <w:spacing w:after="0" w:line="240" w:lineRule="auto"/>
        <w:jc w:val="both"/>
      </w:pPr>
      <w:r>
        <w:t>Each</w:t>
      </w:r>
      <w:r w:rsidR="003022D2" w:rsidRPr="009D20C2">
        <w:t xml:space="preserve"> </w:t>
      </w:r>
      <w:r w:rsidR="00DC618C" w:rsidRPr="009D20C2">
        <w:t xml:space="preserve">Award winner will receive a cash prize of $5,000 USD to be disbursed following the announcement at the </w:t>
      </w:r>
      <w:r>
        <w:t>CSOM</w:t>
      </w:r>
      <w:r w:rsidR="003022D2">
        <w:t xml:space="preserve"> </w:t>
      </w:r>
      <w:r w:rsidR="00DC618C" w:rsidRPr="009D20C2">
        <w:t>that year and upon a written notification by the SCE Program Director</w:t>
      </w:r>
      <w:r w:rsidR="00DC618C" w:rsidRPr="009D20C2">
        <w:rPr>
          <w:vertAlign w:val="superscript"/>
        </w:rPr>
        <w:t>2</w:t>
      </w:r>
      <w:r w:rsidR="00DC618C" w:rsidRPr="009D20C2">
        <w:t>.</w:t>
      </w:r>
    </w:p>
    <w:p w14:paraId="5C3886CC" w14:textId="77777777" w:rsidR="00DC618C" w:rsidRPr="009D20C2" w:rsidRDefault="00DC618C" w:rsidP="00DC618C">
      <w:pPr>
        <w:spacing w:after="0" w:line="240" w:lineRule="auto"/>
        <w:jc w:val="both"/>
      </w:pPr>
    </w:p>
    <w:p w14:paraId="7F98276F" w14:textId="71DC496F" w:rsidR="00DC618C" w:rsidRDefault="00DC618C" w:rsidP="00DC618C">
      <w:pPr>
        <w:spacing w:after="0" w:line="240" w:lineRule="auto"/>
        <w:jc w:val="both"/>
      </w:pPr>
      <w:r w:rsidRPr="009D20C2">
        <w:t>Based on the contributions to date, the 202</w:t>
      </w:r>
      <w:r w:rsidR="00402EFD">
        <w:t>6</w:t>
      </w:r>
      <w:r w:rsidRPr="009D20C2">
        <w:t xml:space="preserve"> APEC BCG Award will be awarded to </w:t>
      </w:r>
      <w:r w:rsidR="003022D2">
        <w:t>the</w:t>
      </w:r>
      <w:r w:rsidR="003022D2" w:rsidRPr="009D20C2">
        <w:t xml:space="preserve"> </w:t>
      </w:r>
      <w:r w:rsidRPr="009D20C2">
        <w:t>winner</w:t>
      </w:r>
      <w:r w:rsidR="00D32C61">
        <w:t>(s)</w:t>
      </w:r>
      <w:r w:rsidRPr="009D20C2">
        <w:t>. The remaining contributions will be kept for use for future years.</w:t>
      </w:r>
    </w:p>
    <w:p w14:paraId="0A64ED2A" w14:textId="77777777" w:rsidR="00FC21CE" w:rsidRPr="009D20C2" w:rsidRDefault="00FC21CE" w:rsidP="00DC618C">
      <w:pPr>
        <w:spacing w:after="0" w:line="240" w:lineRule="auto"/>
        <w:jc w:val="both"/>
      </w:pPr>
    </w:p>
    <w:p w14:paraId="0B2DB9AD" w14:textId="2AFA1C10" w:rsidR="00DC618C" w:rsidRPr="009D20C2" w:rsidRDefault="00DC618C" w:rsidP="00DC618C">
      <w:pPr>
        <w:spacing w:after="0" w:line="240" w:lineRule="auto"/>
        <w:jc w:val="both"/>
      </w:pPr>
      <w:r w:rsidRPr="009D20C2">
        <w:t xml:space="preserve">The APEC BCG Award </w:t>
      </w:r>
      <w:r w:rsidR="00FC21CE">
        <w:t xml:space="preserve">was originally </w:t>
      </w:r>
      <w:r w:rsidRPr="009D20C2">
        <w:t>funded by Canada; China; and Thailand. Other interested economies are also welcome to make contributions to support the Award on a voluntary basis</w:t>
      </w:r>
      <w:r w:rsidRPr="009D20C2">
        <w:rPr>
          <w:vertAlign w:val="superscript"/>
        </w:rPr>
        <w:t>3</w:t>
      </w:r>
      <w:r w:rsidRPr="009D20C2">
        <w:t>.</w:t>
      </w:r>
    </w:p>
    <w:p w14:paraId="7438C822" w14:textId="77777777" w:rsidR="00DC618C" w:rsidRPr="009D20C2" w:rsidRDefault="00DC618C" w:rsidP="00DC618C">
      <w:pPr>
        <w:spacing w:after="0" w:line="240" w:lineRule="auto"/>
        <w:jc w:val="both"/>
      </w:pPr>
    </w:p>
    <w:p w14:paraId="4162B996" w14:textId="77777777" w:rsidR="00DC618C" w:rsidRDefault="00DC618C" w:rsidP="00DC618C">
      <w:pPr>
        <w:spacing w:after="0" w:line="240" w:lineRule="auto"/>
        <w:jc w:val="both"/>
      </w:pPr>
      <w:r w:rsidRPr="009D20C2">
        <w:t>The APEC Secretariat will manage the contributions and will charge a management fee of 2% per contribution</w:t>
      </w:r>
      <w:r w:rsidRPr="009D20C2">
        <w:rPr>
          <w:vertAlign w:val="superscript"/>
        </w:rPr>
        <w:t>4</w:t>
      </w:r>
      <w:r w:rsidRPr="009D20C2">
        <w:t>. The APEC Secretariat will also keep financial records relating to the APEC BCG Award and make records available to the contributors for audit and inspection upon request by the contributor(s).</w:t>
      </w:r>
    </w:p>
    <w:p w14:paraId="2F359FDA" w14:textId="77777777" w:rsidR="00FC21CE" w:rsidRDefault="00FC21CE" w:rsidP="00DC618C">
      <w:pPr>
        <w:spacing w:after="0" w:line="240" w:lineRule="auto"/>
        <w:jc w:val="both"/>
      </w:pPr>
    </w:p>
    <w:p w14:paraId="01265D3C" w14:textId="77777777" w:rsidR="00FC21CE" w:rsidRDefault="00FC21CE" w:rsidP="00DC618C">
      <w:pPr>
        <w:spacing w:after="0" w:line="240" w:lineRule="auto"/>
        <w:jc w:val="both"/>
      </w:pPr>
    </w:p>
    <w:p w14:paraId="47B03979" w14:textId="77777777" w:rsidR="00FC21CE" w:rsidRDefault="00FC21CE" w:rsidP="00DC618C">
      <w:pPr>
        <w:spacing w:after="0" w:line="240" w:lineRule="auto"/>
        <w:jc w:val="both"/>
      </w:pPr>
    </w:p>
    <w:p w14:paraId="78D59724" w14:textId="77777777" w:rsidR="00FC21CE" w:rsidRDefault="00FC21CE" w:rsidP="00DC618C">
      <w:pPr>
        <w:spacing w:after="0" w:line="240" w:lineRule="auto"/>
        <w:jc w:val="both"/>
      </w:pPr>
    </w:p>
    <w:p w14:paraId="63B0EA63" w14:textId="77777777" w:rsidR="00FC21CE" w:rsidRDefault="00FC21CE" w:rsidP="00DC618C">
      <w:pPr>
        <w:spacing w:after="0" w:line="240" w:lineRule="auto"/>
        <w:jc w:val="both"/>
      </w:pPr>
    </w:p>
    <w:p w14:paraId="0A061031" w14:textId="77777777" w:rsidR="00FC21CE" w:rsidRDefault="00FC21CE" w:rsidP="00DC618C">
      <w:pPr>
        <w:spacing w:after="0" w:line="240" w:lineRule="auto"/>
        <w:jc w:val="both"/>
      </w:pPr>
    </w:p>
    <w:p w14:paraId="3323E982" w14:textId="77777777" w:rsidR="00FC21CE" w:rsidRDefault="00FC21CE" w:rsidP="00DC618C">
      <w:pPr>
        <w:spacing w:after="0" w:line="240" w:lineRule="auto"/>
        <w:jc w:val="both"/>
      </w:pPr>
    </w:p>
    <w:p w14:paraId="44A8C414" w14:textId="77777777" w:rsidR="00FC21CE" w:rsidRPr="00B4164F" w:rsidRDefault="00FC21CE" w:rsidP="00DC618C">
      <w:pPr>
        <w:spacing w:after="0" w:line="240" w:lineRule="auto"/>
        <w:jc w:val="both"/>
        <w:rPr>
          <w:rFonts w:cs="Cordia New"/>
          <w:szCs w:val="28"/>
          <w:cs/>
          <w:lang w:bidi="th-TH"/>
        </w:rPr>
      </w:pPr>
    </w:p>
    <w:p w14:paraId="03768570" w14:textId="77777777" w:rsidR="00DC618C" w:rsidRPr="009D20C2" w:rsidRDefault="00DC618C" w:rsidP="00DC618C">
      <w:pPr>
        <w:spacing w:after="0" w:line="240" w:lineRule="auto"/>
        <w:jc w:val="both"/>
      </w:pPr>
      <w:r w:rsidRPr="009D20C2">
        <w:t>* * * * *</w:t>
      </w:r>
    </w:p>
    <w:p w14:paraId="74E9DA46" w14:textId="77777777" w:rsidR="00DC618C" w:rsidRPr="009D20C2" w:rsidRDefault="00DC618C" w:rsidP="00DC618C">
      <w:pPr>
        <w:spacing w:after="0" w:line="240" w:lineRule="auto"/>
        <w:jc w:val="both"/>
      </w:pPr>
    </w:p>
    <w:p w14:paraId="0E24EC79" w14:textId="58136BA6" w:rsidR="009D20C2" w:rsidRPr="009D20C2" w:rsidRDefault="009D20C2" w:rsidP="009D20C2">
      <w:pPr>
        <w:pStyle w:val="ListParagraph"/>
        <w:numPr>
          <w:ilvl w:val="0"/>
          <w:numId w:val="1"/>
        </w:numPr>
        <w:spacing w:after="0" w:line="240" w:lineRule="auto"/>
        <w:rPr>
          <w:sz w:val="16"/>
          <w:szCs w:val="16"/>
        </w:rPr>
      </w:pPr>
      <w:r w:rsidRPr="009D20C2">
        <w:rPr>
          <w:sz w:val="16"/>
          <w:szCs w:val="16"/>
        </w:rPr>
        <w:t>Approved by the PSU Board on 22 March 2023</w:t>
      </w:r>
      <w:r w:rsidR="00D32C61">
        <w:rPr>
          <w:sz w:val="16"/>
          <w:szCs w:val="16"/>
        </w:rPr>
        <w:t>.</w:t>
      </w:r>
    </w:p>
    <w:p w14:paraId="3990A3F1" w14:textId="4D385BB2" w:rsidR="009D20C2" w:rsidRPr="009D20C2" w:rsidRDefault="009D20C2" w:rsidP="00D32C61">
      <w:pPr>
        <w:pStyle w:val="ListParagraph"/>
        <w:numPr>
          <w:ilvl w:val="0"/>
          <w:numId w:val="1"/>
        </w:numPr>
        <w:spacing w:after="0" w:line="240" w:lineRule="auto"/>
        <w:jc w:val="both"/>
        <w:rPr>
          <w:sz w:val="16"/>
          <w:szCs w:val="16"/>
        </w:rPr>
      </w:pPr>
      <w:r w:rsidRPr="009D20C2">
        <w:rPr>
          <w:sz w:val="16"/>
          <w:szCs w:val="16"/>
        </w:rPr>
        <w:t xml:space="preserve">Following </w:t>
      </w:r>
      <w:r w:rsidR="00294796">
        <w:rPr>
          <w:sz w:val="16"/>
          <w:szCs w:val="16"/>
        </w:rPr>
        <w:t>CSOM</w:t>
      </w:r>
      <w:r w:rsidRPr="009D20C2">
        <w:rPr>
          <w:sz w:val="16"/>
          <w:szCs w:val="16"/>
        </w:rPr>
        <w:t xml:space="preserve">, the SCE Program Director will provide the </w:t>
      </w:r>
      <w:r w:rsidR="003022D2">
        <w:rPr>
          <w:sz w:val="16"/>
          <w:szCs w:val="16"/>
        </w:rPr>
        <w:t xml:space="preserve">name of the </w:t>
      </w:r>
      <w:r w:rsidRPr="009D20C2">
        <w:rPr>
          <w:sz w:val="16"/>
          <w:szCs w:val="16"/>
        </w:rPr>
        <w:t>winner</w:t>
      </w:r>
      <w:r w:rsidR="00D32C61">
        <w:rPr>
          <w:sz w:val="16"/>
          <w:szCs w:val="16"/>
        </w:rPr>
        <w:t>(s)</w:t>
      </w:r>
      <w:r w:rsidRPr="009D20C2">
        <w:rPr>
          <w:sz w:val="16"/>
          <w:szCs w:val="16"/>
        </w:rPr>
        <w:t xml:space="preserve"> and relevant bank information to the Finance Section to process cash transfers.</w:t>
      </w:r>
    </w:p>
    <w:p w14:paraId="3FD0D2FA" w14:textId="00CE01ED" w:rsidR="009D20C2" w:rsidRPr="009D20C2" w:rsidRDefault="009D20C2" w:rsidP="00DC618C">
      <w:pPr>
        <w:pStyle w:val="ListParagraph"/>
        <w:numPr>
          <w:ilvl w:val="0"/>
          <w:numId w:val="1"/>
        </w:numPr>
        <w:spacing w:after="0" w:line="240" w:lineRule="auto"/>
        <w:jc w:val="both"/>
        <w:rPr>
          <w:sz w:val="16"/>
          <w:szCs w:val="16"/>
        </w:rPr>
      </w:pPr>
      <w:r w:rsidRPr="009D20C2">
        <w:rPr>
          <w:sz w:val="16"/>
          <w:szCs w:val="16"/>
        </w:rPr>
        <w:t>Economies may write to the SCE Program Director to express interest in contributing to the APEC BCG Award Fund. Upon receipt of an expression of interest, the APEC Secretariat may issue the request letter to the interested economies for the transfer of contributions.</w:t>
      </w:r>
    </w:p>
    <w:p w14:paraId="453A5774" w14:textId="507CBB3A" w:rsidR="00FC21CE" w:rsidRDefault="00DC618C" w:rsidP="00DC618C">
      <w:pPr>
        <w:pStyle w:val="ListParagraph"/>
        <w:numPr>
          <w:ilvl w:val="0"/>
          <w:numId w:val="1"/>
        </w:numPr>
        <w:spacing w:after="0" w:line="240" w:lineRule="auto"/>
        <w:jc w:val="both"/>
        <w:rPr>
          <w:sz w:val="16"/>
          <w:szCs w:val="16"/>
        </w:rPr>
      </w:pPr>
      <w:r w:rsidRPr="009D20C2">
        <w:rPr>
          <w:sz w:val="16"/>
          <w:szCs w:val="16"/>
        </w:rPr>
        <w:t>The Secretariat will collect a management fee of 2% per contribution, which would be transferred to the Secretariat Account for better support of the Secretariat’s operational budget process.</w:t>
      </w:r>
    </w:p>
    <w:p w14:paraId="5C279209" w14:textId="56A838D6" w:rsidR="00FC21CE" w:rsidRPr="005358FA" w:rsidRDefault="00FC21CE" w:rsidP="00452B9A">
      <w:pPr>
        <w:spacing w:line="240" w:lineRule="exact"/>
        <w:rPr>
          <w:rFonts w:cs="Cordia New" w:hint="cs"/>
          <w:sz w:val="16"/>
          <w:szCs w:val="20"/>
          <w:lang w:bidi="th-TH"/>
        </w:rPr>
      </w:pPr>
    </w:p>
    <w:sectPr w:rsidR="00FC21CE" w:rsidRPr="005358FA" w:rsidSect="005358FA">
      <w:pgSz w:w="11910" w:h="16840"/>
      <w:pgMar w:top="1440" w:right="1440" w:bottom="851" w:left="1440" w:header="43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21B8" w14:textId="77777777" w:rsidR="00AA70C6" w:rsidRDefault="00AA70C6">
      <w:pPr>
        <w:spacing w:after="0" w:line="240" w:lineRule="auto"/>
      </w:pPr>
      <w:r>
        <w:separator/>
      </w:r>
    </w:p>
  </w:endnote>
  <w:endnote w:type="continuationSeparator" w:id="0">
    <w:p w14:paraId="299FFA39" w14:textId="77777777" w:rsidR="00AA70C6" w:rsidRDefault="00AA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1F717" w14:textId="77777777" w:rsidR="00AA70C6" w:rsidRDefault="00AA70C6">
      <w:pPr>
        <w:spacing w:after="0" w:line="240" w:lineRule="auto"/>
      </w:pPr>
      <w:r>
        <w:separator/>
      </w:r>
    </w:p>
  </w:footnote>
  <w:footnote w:type="continuationSeparator" w:id="0">
    <w:p w14:paraId="409E0C7F" w14:textId="77777777" w:rsidR="00AA70C6" w:rsidRDefault="00AA7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931"/>
    <w:multiLevelType w:val="hybridMultilevel"/>
    <w:tmpl w:val="715C79F0"/>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07AA418C"/>
    <w:multiLevelType w:val="hybridMultilevel"/>
    <w:tmpl w:val="AEE6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859B4"/>
    <w:multiLevelType w:val="hybridMultilevel"/>
    <w:tmpl w:val="16CAC740"/>
    <w:lvl w:ilvl="0" w:tplc="95F0BFD8">
      <w:start w:val="1"/>
      <w:numFmt w:val="decimal"/>
      <w:lvlText w:val="%1)"/>
      <w:lvlJc w:val="left"/>
      <w:pPr>
        <w:ind w:left="468" w:hanging="360"/>
      </w:pPr>
      <w:rPr>
        <w:rFonts w:ascii="Arial" w:eastAsia="Arial" w:hAnsi="Arial" w:cs="Arial" w:hint="default"/>
        <w:w w:val="99"/>
        <w:sz w:val="24"/>
        <w:szCs w:val="24"/>
        <w:lang w:val="th" w:eastAsia="th" w:bidi="th"/>
      </w:rPr>
    </w:lvl>
    <w:lvl w:ilvl="1" w:tplc="6F241AC2">
      <w:numFmt w:val="bullet"/>
      <w:lvlText w:val=""/>
      <w:lvlJc w:val="left"/>
      <w:pPr>
        <w:ind w:left="919" w:hanging="360"/>
      </w:pPr>
      <w:rPr>
        <w:rFonts w:ascii="Symbol" w:eastAsia="Symbol" w:hAnsi="Symbol" w:cs="Symbol" w:hint="default"/>
        <w:w w:val="100"/>
        <w:sz w:val="24"/>
        <w:szCs w:val="24"/>
        <w:lang w:val="th" w:eastAsia="th" w:bidi="th"/>
      </w:rPr>
    </w:lvl>
    <w:lvl w:ilvl="2" w:tplc="FDD44970">
      <w:numFmt w:val="bullet"/>
      <w:lvlText w:val="•"/>
      <w:lvlJc w:val="left"/>
      <w:pPr>
        <w:ind w:left="1903" w:hanging="360"/>
      </w:pPr>
      <w:rPr>
        <w:rFonts w:hint="default"/>
        <w:lang w:val="th" w:eastAsia="th" w:bidi="th"/>
      </w:rPr>
    </w:lvl>
    <w:lvl w:ilvl="3" w:tplc="9DF08A08">
      <w:numFmt w:val="bullet"/>
      <w:lvlText w:val="•"/>
      <w:lvlJc w:val="left"/>
      <w:pPr>
        <w:ind w:left="2886" w:hanging="360"/>
      </w:pPr>
      <w:rPr>
        <w:rFonts w:hint="default"/>
        <w:lang w:val="th" w:eastAsia="th" w:bidi="th"/>
      </w:rPr>
    </w:lvl>
    <w:lvl w:ilvl="4" w:tplc="CA1E5A12">
      <w:numFmt w:val="bullet"/>
      <w:lvlText w:val="•"/>
      <w:lvlJc w:val="left"/>
      <w:pPr>
        <w:ind w:left="3869" w:hanging="360"/>
      </w:pPr>
      <w:rPr>
        <w:rFonts w:hint="default"/>
        <w:lang w:val="th" w:eastAsia="th" w:bidi="th"/>
      </w:rPr>
    </w:lvl>
    <w:lvl w:ilvl="5" w:tplc="FB98838C">
      <w:numFmt w:val="bullet"/>
      <w:lvlText w:val="•"/>
      <w:lvlJc w:val="left"/>
      <w:pPr>
        <w:ind w:left="4852" w:hanging="360"/>
      </w:pPr>
      <w:rPr>
        <w:rFonts w:hint="default"/>
        <w:lang w:val="th" w:eastAsia="th" w:bidi="th"/>
      </w:rPr>
    </w:lvl>
    <w:lvl w:ilvl="6" w:tplc="F20E8A06">
      <w:numFmt w:val="bullet"/>
      <w:lvlText w:val="•"/>
      <w:lvlJc w:val="left"/>
      <w:pPr>
        <w:ind w:left="5836" w:hanging="360"/>
      </w:pPr>
      <w:rPr>
        <w:rFonts w:hint="default"/>
        <w:lang w:val="th" w:eastAsia="th" w:bidi="th"/>
      </w:rPr>
    </w:lvl>
    <w:lvl w:ilvl="7" w:tplc="95160F6E">
      <w:numFmt w:val="bullet"/>
      <w:lvlText w:val="•"/>
      <w:lvlJc w:val="left"/>
      <w:pPr>
        <w:ind w:left="6819" w:hanging="360"/>
      </w:pPr>
      <w:rPr>
        <w:rFonts w:hint="default"/>
        <w:lang w:val="th" w:eastAsia="th" w:bidi="th"/>
      </w:rPr>
    </w:lvl>
    <w:lvl w:ilvl="8" w:tplc="2FF095E8">
      <w:numFmt w:val="bullet"/>
      <w:lvlText w:val="•"/>
      <w:lvlJc w:val="left"/>
      <w:pPr>
        <w:ind w:left="7802" w:hanging="360"/>
      </w:pPr>
      <w:rPr>
        <w:rFonts w:hint="default"/>
        <w:lang w:val="th" w:eastAsia="th" w:bidi="th"/>
      </w:rPr>
    </w:lvl>
  </w:abstractNum>
  <w:abstractNum w:abstractNumId="3" w15:restartNumberingAfterBreak="0">
    <w:nsid w:val="1B2629FB"/>
    <w:multiLevelType w:val="hybridMultilevel"/>
    <w:tmpl w:val="806E98DA"/>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1C1338D5"/>
    <w:multiLevelType w:val="hybridMultilevel"/>
    <w:tmpl w:val="1876AB64"/>
    <w:lvl w:ilvl="0" w:tplc="A7387EA4">
      <w:numFmt w:val="bullet"/>
      <w:lvlText w:val=""/>
      <w:lvlJc w:val="left"/>
      <w:pPr>
        <w:ind w:left="390" w:hanging="284"/>
      </w:pPr>
      <w:rPr>
        <w:rFonts w:ascii="Symbol" w:eastAsia="Symbol" w:hAnsi="Symbol" w:cs="Symbol" w:hint="default"/>
        <w:b/>
        <w:bCs/>
        <w:w w:val="99"/>
        <w:sz w:val="24"/>
        <w:szCs w:val="24"/>
        <w:lang w:val="th" w:eastAsia="th" w:bidi="th"/>
      </w:rPr>
    </w:lvl>
    <w:lvl w:ilvl="1" w:tplc="DFF6A02E">
      <w:numFmt w:val="bullet"/>
      <w:lvlText w:val="•"/>
      <w:lvlJc w:val="left"/>
      <w:pPr>
        <w:ind w:left="1299" w:hanging="284"/>
      </w:pPr>
      <w:rPr>
        <w:rFonts w:hint="default"/>
        <w:lang w:val="th" w:eastAsia="th" w:bidi="th"/>
      </w:rPr>
    </w:lvl>
    <w:lvl w:ilvl="2" w:tplc="791C9DE2">
      <w:numFmt w:val="bullet"/>
      <w:lvlText w:val="•"/>
      <w:lvlJc w:val="left"/>
      <w:pPr>
        <w:ind w:left="2199" w:hanging="284"/>
      </w:pPr>
      <w:rPr>
        <w:rFonts w:hint="default"/>
        <w:lang w:val="th" w:eastAsia="th" w:bidi="th"/>
      </w:rPr>
    </w:lvl>
    <w:lvl w:ilvl="3" w:tplc="82AC947A">
      <w:numFmt w:val="bullet"/>
      <w:lvlText w:val="•"/>
      <w:lvlJc w:val="left"/>
      <w:pPr>
        <w:ind w:left="3098" w:hanging="284"/>
      </w:pPr>
      <w:rPr>
        <w:rFonts w:hint="default"/>
        <w:lang w:val="th" w:eastAsia="th" w:bidi="th"/>
      </w:rPr>
    </w:lvl>
    <w:lvl w:ilvl="4" w:tplc="A41E97E4">
      <w:numFmt w:val="bullet"/>
      <w:lvlText w:val="•"/>
      <w:lvlJc w:val="left"/>
      <w:pPr>
        <w:ind w:left="3998" w:hanging="284"/>
      </w:pPr>
      <w:rPr>
        <w:rFonts w:hint="default"/>
        <w:lang w:val="th" w:eastAsia="th" w:bidi="th"/>
      </w:rPr>
    </w:lvl>
    <w:lvl w:ilvl="5" w:tplc="89ECAFB8">
      <w:numFmt w:val="bullet"/>
      <w:lvlText w:val="•"/>
      <w:lvlJc w:val="left"/>
      <w:pPr>
        <w:ind w:left="4897" w:hanging="284"/>
      </w:pPr>
      <w:rPr>
        <w:rFonts w:hint="default"/>
        <w:lang w:val="th" w:eastAsia="th" w:bidi="th"/>
      </w:rPr>
    </w:lvl>
    <w:lvl w:ilvl="6" w:tplc="D2A0DBF8">
      <w:numFmt w:val="bullet"/>
      <w:lvlText w:val="•"/>
      <w:lvlJc w:val="left"/>
      <w:pPr>
        <w:ind w:left="5797" w:hanging="284"/>
      </w:pPr>
      <w:rPr>
        <w:rFonts w:hint="default"/>
        <w:lang w:val="th" w:eastAsia="th" w:bidi="th"/>
      </w:rPr>
    </w:lvl>
    <w:lvl w:ilvl="7" w:tplc="41386E50">
      <w:numFmt w:val="bullet"/>
      <w:lvlText w:val="•"/>
      <w:lvlJc w:val="left"/>
      <w:pPr>
        <w:ind w:left="6696" w:hanging="284"/>
      </w:pPr>
      <w:rPr>
        <w:rFonts w:hint="default"/>
        <w:lang w:val="th" w:eastAsia="th" w:bidi="th"/>
      </w:rPr>
    </w:lvl>
    <w:lvl w:ilvl="8" w:tplc="81B0E2C2">
      <w:numFmt w:val="bullet"/>
      <w:lvlText w:val="•"/>
      <w:lvlJc w:val="left"/>
      <w:pPr>
        <w:ind w:left="7596" w:hanging="284"/>
      </w:pPr>
      <w:rPr>
        <w:rFonts w:hint="default"/>
        <w:lang w:val="th" w:eastAsia="th" w:bidi="th"/>
      </w:rPr>
    </w:lvl>
  </w:abstractNum>
  <w:abstractNum w:abstractNumId="5" w15:restartNumberingAfterBreak="0">
    <w:nsid w:val="25A60CE6"/>
    <w:multiLevelType w:val="hybridMultilevel"/>
    <w:tmpl w:val="191457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33F03D0D"/>
    <w:multiLevelType w:val="hybridMultilevel"/>
    <w:tmpl w:val="86947A84"/>
    <w:lvl w:ilvl="0" w:tplc="4809000B">
      <w:start w:val="1"/>
      <w:numFmt w:val="bullet"/>
      <w:lvlText w:val=""/>
      <w:lvlJc w:val="left"/>
      <w:pPr>
        <w:ind w:left="1080" w:hanging="360"/>
      </w:pPr>
      <w:rPr>
        <w:rFonts w:ascii="Wingdings" w:hAnsi="Wingding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 w15:restartNumberingAfterBreak="0">
    <w:nsid w:val="4F3D2536"/>
    <w:multiLevelType w:val="hybridMultilevel"/>
    <w:tmpl w:val="5DCCDEE4"/>
    <w:lvl w:ilvl="0" w:tplc="8D78CBBA">
      <w:numFmt w:val="bullet"/>
      <w:lvlText w:val=""/>
      <w:lvlJc w:val="left"/>
      <w:pPr>
        <w:ind w:left="394" w:hanging="394"/>
      </w:pPr>
      <w:rPr>
        <w:rFonts w:ascii="Wingdings" w:eastAsia="Wingdings" w:hAnsi="Wingdings" w:cs="Wingdings" w:hint="default"/>
        <w:w w:val="100"/>
        <w:sz w:val="24"/>
        <w:szCs w:val="24"/>
        <w:lang w:val="th" w:eastAsia="th" w:bidi="th"/>
      </w:rPr>
    </w:lvl>
    <w:lvl w:ilvl="1" w:tplc="1CC4CB36">
      <w:numFmt w:val="bullet"/>
      <w:lvlText w:val="•"/>
      <w:lvlJc w:val="left"/>
      <w:pPr>
        <w:ind w:left="1234" w:hanging="394"/>
      </w:pPr>
      <w:rPr>
        <w:rFonts w:hint="default"/>
        <w:lang w:val="th" w:eastAsia="th" w:bidi="th"/>
      </w:rPr>
    </w:lvl>
    <w:lvl w:ilvl="2" w:tplc="821AAE8C">
      <w:numFmt w:val="bullet"/>
      <w:lvlText w:val="•"/>
      <w:lvlJc w:val="left"/>
      <w:pPr>
        <w:ind w:left="2076" w:hanging="394"/>
      </w:pPr>
      <w:rPr>
        <w:rFonts w:hint="default"/>
        <w:lang w:val="th" w:eastAsia="th" w:bidi="th"/>
      </w:rPr>
    </w:lvl>
    <w:lvl w:ilvl="3" w:tplc="AC78FB36">
      <w:numFmt w:val="bullet"/>
      <w:lvlText w:val="•"/>
      <w:lvlJc w:val="left"/>
      <w:pPr>
        <w:ind w:left="2917" w:hanging="394"/>
      </w:pPr>
      <w:rPr>
        <w:rFonts w:hint="default"/>
        <w:lang w:val="th" w:eastAsia="th" w:bidi="th"/>
      </w:rPr>
    </w:lvl>
    <w:lvl w:ilvl="4" w:tplc="07DCD842">
      <w:numFmt w:val="bullet"/>
      <w:lvlText w:val="•"/>
      <w:lvlJc w:val="left"/>
      <w:pPr>
        <w:ind w:left="3759" w:hanging="394"/>
      </w:pPr>
      <w:rPr>
        <w:rFonts w:hint="default"/>
        <w:lang w:val="th" w:eastAsia="th" w:bidi="th"/>
      </w:rPr>
    </w:lvl>
    <w:lvl w:ilvl="5" w:tplc="1CD2243A">
      <w:numFmt w:val="bullet"/>
      <w:lvlText w:val="•"/>
      <w:lvlJc w:val="left"/>
      <w:pPr>
        <w:ind w:left="4600" w:hanging="394"/>
      </w:pPr>
      <w:rPr>
        <w:rFonts w:hint="default"/>
        <w:lang w:val="th" w:eastAsia="th" w:bidi="th"/>
      </w:rPr>
    </w:lvl>
    <w:lvl w:ilvl="6" w:tplc="2B3E5178">
      <w:numFmt w:val="bullet"/>
      <w:lvlText w:val="•"/>
      <w:lvlJc w:val="left"/>
      <w:pPr>
        <w:ind w:left="5442" w:hanging="394"/>
      </w:pPr>
      <w:rPr>
        <w:rFonts w:hint="default"/>
        <w:lang w:val="th" w:eastAsia="th" w:bidi="th"/>
      </w:rPr>
    </w:lvl>
    <w:lvl w:ilvl="7" w:tplc="CA384BBC">
      <w:numFmt w:val="bullet"/>
      <w:lvlText w:val="•"/>
      <w:lvlJc w:val="left"/>
      <w:pPr>
        <w:ind w:left="6283" w:hanging="394"/>
      </w:pPr>
      <w:rPr>
        <w:rFonts w:hint="default"/>
        <w:lang w:val="th" w:eastAsia="th" w:bidi="th"/>
      </w:rPr>
    </w:lvl>
    <w:lvl w:ilvl="8" w:tplc="FC3E7B4E">
      <w:numFmt w:val="bullet"/>
      <w:lvlText w:val="•"/>
      <w:lvlJc w:val="left"/>
      <w:pPr>
        <w:ind w:left="7125" w:hanging="394"/>
      </w:pPr>
      <w:rPr>
        <w:rFonts w:hint="default"/>
        <w:lang w:val="th" w:eastAsia="th" w:bidi="th"/>
      </w:rPr>
    </w:lvl>
  </w:abstractNum>
  <w:abstractNum w:abstractNumId="8" w15:restartNumberingAfterBreak="0">
    <w:nsid w:val="54DA002E"/>
    <w:multiLevelType w:val="hybridMultilevel"/>
    <w:tmpl w:val="234E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5426A"/>
    <w:multiLevelType w:val="hybridMultilevel"/>
    <w:tmpl w:val="8A567E52"/>
    <w:lvl w:ilvl="0" w:tplc="8A66D9D4">
      <w:start w:val="1"/>
      <w:numFmt w:val="decimal"/>
      <w:lvlText w:val="%1."/>
      <w:lvlJc w:val="left"/>
      <w:pPr>
        <w:ind w:left="360" w:hanging="360"/>
      </w:pPr>
      <w:rPr>
        <w:rFonts w:cs="Cordia New" w:hint="default"/>
        <w:sz w:val="28"/>
        <w:szCs w:val="28"/>
      </w:rPr>
    </w:lvl>
    <w:lvl w:ilvl="1" w:tplc="48090019" w:tentative="1">
      <w:start w:val="1"/>
      <w:numFmt w:val="lowerLetter"/>
      <w:lvlText w:val="%2."/>
      <w:lvlJc w:val="left"/>
      <w:pPr>
        <w:ind w:left="4135" w:hanging="360"/>
      </w:pPr>
    </w:lvl>
    <w:lvl w:ilvl="2" w:tplc="4809001B" w:tentative="1">
      <w:start w:val="1"/>
      <w:numFmt w:val="lowerRoman"/>
      <w:lvlText w:val="%3."/>
      <w:lvlJc w:val="right"/>
      <w:pPr>
        <w:ind w:left="4855" w:hanging="180"/>
      </w:pPr>
    </w:lvl>
    <w:lvl w:ilvl="3" w:tplc="4809000F" w:tentative="1">
      <w:start w:val="1"/>
      <w:numFmt w:val="decimal"/>
      <w:lvlText w:val="%4."/>
      <w:lvlJc w:val="left"/>
      <w:pPr>
        <w:ind w:left="5575" w:hanging="360"/>
      </w:pPr>
    </w:lvl>
    <w:lvl w:ilvl="4" w:tplc="48090019" w:tentative="1">
      <w:start w:val="1"/>
      <w:numFmt w:val="lowerLetter"/>
      <w:lvlText w:val="%5."/>
      <w:lvlJc w:val="left"/>
      <w:pPr>
        <w:ind w:left="6295" w:hanging="360"/>
      </w:pPr>
    </w:lvl>
    <w:lvl w:ilvl="5" w:tplc="4809001B" w:tentative="1">
      <w:start w:val="1"/>
      <w:numFmt w:val="lowerRoman"/>
      <w:lvlText w:val="%6."/>
      <w:lvlJc w:val="right"/>
      <w:pPr>
        <w:ind w:left="7015" w:hanging="180"/>
      </w:pPr>
    </w:lvl>
    <w:lvl w:ilvl="6" w:tplc="4809000F" w:tentative="1">
      <w:start w:val="1"/>
      <w:numFmt w:val="decimal"/>
      <w:lvlText w:val="%7."/>
      <w:lvlJc w:val="left"/>
      <w:pPr>
        <w:ind w:left="7735" w:hanging="360"/>
      </w:pPr>
    </w:lvl>
    <w:lvl w:ilvl="7" w:tplc="48090019" w:tentative="1">
      <w:start w:val="1"/>
      <w:numFmt w:val="lowerLetter"/>
      <w:lvlText w:val="%8."/>
      <w:lvlJc w:val="left"/>
      <w:pPr>
        <w:ind w:left="8455" w:hanging="360"/>
      </w:pPr>
    </w:lvl>
    <w:lvl w:ilvl="8" w:tplc="4809001B" w:tentative="1">
      <w:start w:val="1"/>
      <w:numFmt w:val="lowerRoman"/>
      <w:lvlText w:val="%9."/>
      <w:lvlJc w:val="right"/>
      <w:pPr>
        <w:ind w:left="9175" w:hanging="180"/>
      </w:pPr>
    </w:lvl>
  </w:abstractNum>
  <w:abstractNum w:abstractNumId="10" w15:restartNumberingAfterBreak="0">
    <w:nsid w:val="5F686A25"/>
    <w:multiLevelType w:val="hybridMultilevel"/>
    <w:tmpl w:val="B1EE9C44"/>
    <w:lvl w:ilvl="0" w:tplc="68D8C21C">
      <w:start w:val="1"/>
      <w:numFmt w:val="decimal"/>
      <w:lvlText w:val="%1"/>
      <w:lvlJc w:val="left"/>
      <w:pPr>
        <w:ind w:left="595" w:hanging="166"/>
      </w:pPr>
      <w:rPr>
        <w:rFonts w:ascii="Arial" w:eastAsia="Arial" w:hAnsi="Arial" w:cs="Arial" w:hint="default"/>
        <w:w w:val="99"/>
        <w:position w:val="6"/>
        <w:sz w:val="20"/>
        <w:szCs w:val="20"/>
        <w:lang w:val="th" w:eastAsia="th" w:bidi="th"/>
      </w:rPr>
    </w:lvl>
    <w:lvl w:ilvl="1" w:tplc="5A805B6C">
      <w:numFmt w:val="bullet"/>
      <w:lvlText w:val=""/>
      <w:lvlJc w:val="left"/>
      <w:pPr>
        <w:ind w:left="360" w:hanging="360"/>
      </w:pPr>
      <w:rPr>
        <w:rFonts w:ascii="Symbol" w:eastAsia="Symbol" w:hAnsi="Symbol" w:cs="Symbol" w:hint="default"/>
        <w:w w:val="100"/>
        <w:sz w:val="24"/>
        <w:szCs w:val="24"/>
        <w:lang w:val="th" w:eastAsia="th" w:bidi="th"/>
      </w:rPr>
    </w:lvl>
    <w:lvl w:ilvl="2" w:tplc="C88C1FFA">
      <w:numFmt w:val="bullet"/>
      <w:lvlText w:val="•"/>
      <w:lvlJc w:val="left"/>
      <w:pPr>
        <w:ind w:left="1903" w:hanging="360"/>
      </w:pPr>
      <w:rPr>
        <w:rFonts w:hint="default"/>
        <w:lang w:val="th" w:eastAsia="th" w:bidi="th"/>
      </w:rPr>
    </w:lvl>
    <w:lvl w:ilvl="3" w:tplc="20C6A5D0">
      <w:numFmt w:val="bullet"/>
      <w:lvlText w:val="•"/>
      <w:lvlJc w:val="left"/>
      <w:pPr>
        <w:ind w:left="2886" w:hanging="360"/>
      </w:pPr>
      <w:rPr>
        <w:rFonts w:hint="default"/>
        <w:lang w:val="th" w:eastAsia="th" w:bidi="th"/>
      </w:rPr>
    </w:lvl>
    <w:lvl w:ilvl="4" w:tplc="A2004B24">
      <w:numFmt w:val="bullet"/>
      <w:lvlText w:val="•"/>
      <w:lvlJc w:val="left"/>
      <w:pPr>
        <w:ind w:left="3869" w:hanging="360"/>
      </w:pPr>
      <w:rPr>
        <w:rFonts w:hint="default"/>
        <w:lang w:val="th" w:eastAsia="th" w:bidi="th"/>
      </w:rPr>
    </w:lvl>
    <w:lvl w:ilvl="5" w:tplc="FAF4FADA">
      <w:numFmt w:val="bullet"/>
      <w:lvlText w:val="•"/>
      <w:lvlJc w:val="left"/>
      <w:pPr>
        <w:ind w:left="4852" w:hanging="360"/>
      </w:pPr>
      <w:rPr>
        <w:rFonts w:hint="default"/>
        <w:lang w:val="th" w:eastAsia="th" w:bidi="th"/>
      </w:rPr>
    </w:lvl>
    <w:lvl w:ilvl="6" w:tplc="11B00B32">
      <w:numFmt w:val="bullet"/>
      <w:lvlText w:val="•"/>
      <w:lvlJc w:val="left"/>
      <w:pPr>
        <w:ind w:left="5836" w:hanging="360"/>
      </w:pPr>
      <w:rPr>
        <w:rFonts w:hint="default"/>
        <w:lang w:val="th" w:eastAsia="th" w:bidi="th"/>
      </w:rPr>
    </w:lvl>
    <w:lvl w:ilvl="7" w:tplc="DABCDBE8">
      <w:numFmt w:val="bullet"/>
      <w:lvlText w:val="•"/>
      <w:lvlJc w:val="left"/>
      <w:pPr>
        <w:ind w:left="6819" w:hanging="360"/>
      </w:pPr>
      <w:rPr>
        <w:rFonts w:hint="default"/>
        <w:lang w:val="th" w:eastAsia="th" w:bidi="th"/>
      </w:rPr>
    </w:lvl>
    <w:lvl w:ilvl="8" w:tplc="F4D8A4C8">
      <w:numFmt w:val="bullet"/>
      <w:lvlText w:val="•"/>
      <w:lvlJc w:val="left"/>
      <w:pPr>
        <w:ind w:left="7802" w:hanging="360"/>
      </w:pPr>
      <w:rPr>
        <w:rFonts w:hint="default"/>
        <w:lang w:val="th" w:eastAsia="th" w:bidi="th"/>
      </w:rPr>
    </w:lvl>
  </w:abstractNum>
  <w:abstractNum w:abstractNumId="11" w15:restartNumberingAfterBreak="0">
    <w:nsid w:val="78BB66A4"/>
    <w:multiLevelType w:val="hybridMultilevel"/>
    <w:tmpl w:val="CD5E280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875271731">
    <w:abstractNumId w:val="11"/>
  </w:num>
  <w:num w:numId="2" w16cid:durableId="961813216">
    <w:abstractNumId w:val="10"/>
  </w:num>
  <w:num w:numId="3" w16cid:durableId="1304891013">
    <w:abstractNumId w:val="6"/>
  </w:num>
  <w:num w:numId="4" w16cid:durableId="2101488255">
    <w:abstractNumId w:val="5"/>
  </w:num>
  <w:num w:numId="5" w16cid:durableId="1670792291">
    <w:abstractNumId w:val="0"/>
  </w:num>
  <w:num w:numId="6" w16cid:durableId="787775476">
    <w:abstractNumId w:val="3"/>
  </w:num>
  <w:num w:numId="7" w16cid:durableId="1698653177">
    <w:abstractNumId w:val="9"/>
  </w:num>
  <w:num w:numId="8" w16cid:durableId="573006965">
    <w:abstractNumId w:val="7"/>
  </w:num>
  <w:num w:numId="9" w16cid:durableId="1429816334">
    <w:abstractNumId w:val="4"/>
  </w:num>
  <w:num w:numId="10" w16cid:durableId="1804811282">
    <w:abstractNumId w:val="2"/>
  </w:num>
  <w:num w:numId="11" w16cid:durableId="348264857">
    <w:abstractNumId w:val="8"/>
  </w:num>
  <w:num w:numId="12" w16cid:durableId="52286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8C"/>
    <w:rsid w:val="00001FCF"/>
    <w:rsid w:val="00012C03"/>
    <w:rsid w:val="000154EC"/>
    <w:rsid w:val="00021709"/>
    <w:rsid w:val="00030E06"/>
    <w:rsid w:val="00032A8F"/>
    <w:rsid w:val="00047C2E"/>
    <w:rsid w:val="0007709B"/>
    <w:rsid w:val="000C049C"/>
    <w:rsid w:val="000D11E7"/>
    <w:rsid w:val="001415A2"/>
    <w:rsid w:val="00156C09"/>
    <w:rsid w:val="00163302"/>
    <w:rsid w:val="0017736C"/>
    <w:rsid w:val="001A1CAE"/>
    <w:rsid w:val="001B40EB"/>
    <w:rsid w:val="001E1693"/>
    <w:rsid w:val="001F311D"/>
    <w:rsid w:val="002072C2"/>
    <w:rsid w:val="00217719"/>
    <w:rsid w:val="00220466"/>
    <w:rsid w:val="00267205"/>
    <w:rsid w:val="00294796"/>
    <w:rsid w:val="002B2D76"/>
    <w:rsid w:val="002D5CD1"/>
    <w:rsid w:val="0030203B"/>
    <w:rsid w:val="003022D2"/>
    <w:rsid w:val="00315CCB"/>
    <w:rsid w:val="003323A2"/>
    <w:rsid w:val="00340EE0"/>
    <w:rsid w:val="003523C2"/>
    <w:rsid w:val="00354D9E"/>
    <w:rsid w:val="0035513C"/>
    <w:rsid w:val="00370868"/>
    <w:rsid w:val="00370BC8"/>
    <w:rsid w:val="003756EB"/>
    <w:rsid w:val="003A5789"/>
    <w:rsid w:val="003B1B5D"/>
    <w:rsid w:val="00402EFD"/>
    <w:rsid w:val="00404A02"/>
    <w:rsid w:val="00443FD0"/>
    <w:rsid w:val="00452B9A"/>
    <w:rsid w:val="00455078"/>
    <w:rsid w:val="00463E00"/>
    <w:rsid w:val="004728AF"/>
    <w:rsid w:val="004B2BE9"/>
    <w:rsid w:val="004F7B41"/>
    <w:rsid w:val="0052518F"/>
    <w:rsid w:val="005358FA"/>
    <w:rsid w:val="005368CE"/>
    <w:rsid w:val="00553268"/>
    <w:rsid w:val="00563A87"/>
    <w:rsid w:val="00567D53"/>
    <w:rsid w:val="00572059"/>
    <w:rsid w:val="005877A1"/>
    <w:rsid w:val="005D4DF0"/>
    <w:rsid w:val="005F02AB"/>
    <w:rsid w:val="00605D58"/>
    <w:rsid w:val="006232AF"/>
    <w:rsid w:val="00636C11"/>
    <w:rsid w:val="006B5042"/>
    <w:rsid w:val="006D4CFE"/>
    <w:rsid w:val="006E20CC"/>
    <w:rsid w:val="006E3EA5"/>
    <w:rsid w:val="006F167F"/>
    <w:rsid w:val="006F6E8B"/>
    <w:rsid w:val="007036FE"/>
    <w:rsid w:val="00736A52"/>
    <w:rsid w:val="007475FE"/>
    <w:rsid w:val="00777EDB"/>
    <w:rsid w:val="00783D8C"/>
    <w:rsid w:val="00796698"/>
    <w:rsid w:val="007B6F64"/>
    <w:rsid w:val="007C441D"/>
    <w:rsid w:val="007F38A4"/>
    <w:rsid w:val="007F5B29"/>
    <w:rsid w:val="00817444"/>
    <w:rsid w:val="00817D37"/>
    <w:rsid w:val="00822725"/>
    <w:rsid w:val="00824BDE"/>
    <w:rsid w:val="008445A1"/>
    <w:rsid w:val="00871D1A"/>
    <w:rsid w:val="008A3217"/>
    <w:rsid w:val="008C4A04"/>
    <w:rsid w:val="009037D1"/>
    <w:rsid w:val="009209EB"/>
    <w:rsid w:val="00925027"/>
    <w:rsid w:val="0095691A"/>
    <w:rsid w:val="00967349"/>
    <w:rsid w:val="00990ABB"/>
    <w:rsid w:val="009B1237"/>
    <w:rsid w:val="009B43F5"/>
    <w:rsid w:val="009D20C2"/>
    <w:rsid w:val="009E02C5"/>
    <w:rsid w:val="009E5286"/>
    <w:rsid w:val="009F39F4"/>
    <w:rsid w:val="009F4D41"/>
    <w:rsid w:val="009F67A8"/>
    <w:rsid w:val="00A12707"/>
    <w:rsid w:val="00A22A96"/>
    <w:rsid w:val="00A24827"/>
    <w:rsid w:val="00A378B4"/>
    <w:rsid w:val="00A44A69"/>
    <w:rsid w:val="00A62301"/>
    <w:rsid w:val="00A900D0"/>
    <w:rsid w:val="00AA36DB"/>
    <w:rsid w:val="00AA70C6"/>
    <w:rsid w:val="00AC27E5"/>
    <w:rsid w:val="00AE1E8D"/>
    <w:rsid w:val="00AE3796"/>
    <w:rsid w:val="00AE5CC2"/>
    <w:rsid w:val="00AF2EDF"/>
    <w:rsid w:val="00B15970"/>
    <w:rsid w:val="00B23B14"/>
    <w:rsid w:val="00B24324"/>
    <w:rsid w:val="00B4164F"/>
    <w:rsid w:val="00B75291"/>
    <w:rsid w:val="00B83063"/>
    <w:rsid w:val="00B83148"/>
    <w:rsid w:val="00B87FB3"/>
    <w:rsid w:val="00BC36C4"/>
    <w:rsid w:val="00BE6F98"/>
    <w:rsid w:val="00BF5C26"/>
    <w:rsid w:val="00C23597"/>
    <w:rsid w:val="00C26759"/>
    <w:rsid w:val="00CA4878"/>
    <w:rsid w:val="00CB4348"/>
    <w:rsid w:val="00CD3BF9"/>
    <w:rsid w:val="00D242C5"/>
    <w:rsid w:val="00D32C61"/>
    <w:rsid w:val="00D35086"/>
    <w:rsid w:val="00D36D06"/>
    <w:rsid w:val="00D40454"/>
    <w:rsid w:val="00D40994"/>
    <w:rsid w:val="00D52671"/>
    <w:rsid w:val="00D573E3"/>
    <w:rsid w:val="00D60B99"/>
    <w:rsid w:val="00D60BBA"/>
    <w:rsid w:val="00D72630"/>
    <w:rsid w:val="00D93D37"/>
    <w:rsid w:val="00DB637C"/>
    <w:rsid w:val="00DC618C"/>
    <w:rsid w:val="00DD3BF0"/>
    <w:rsid w:val="00DF2C5A"/>
    <w:rsid w:val="00E25130"/>
    <w:rsid w:val="00E34EE4"/>
    <w:rsid w:val="00E7165C"/>
    <w:rsid w:val="00E72D05"/>
    <w:rsid w:val="00E920D5"/>
    <w:rsid w:val="00E94D3E"/>
    <w:rsid w:val="00EA3CAD"/>
    <w:rsid w:val="00EC0905"/>
    <w:rsid w:val="00ED0C8F"/>
    <w:rsid w:val="00ED28E0"/>
    <w:rsid w:val="00ED2D6A"/>
    <w:rsid w:val="00EF5F76"/>
    <w:rsid w:val="00F00EEA"/>
    <w:rsid w:val="00F11E41"/>
    <w:rsid w:val="00F4632E"/>
    <w:rsid w:val="00F53707"/>
    <w:rsid w:val="00F820F2"/>
    <w:rsid w:val="00F83962"/>
    <w:rsid w:val="00F938F1"/>
    <w:rsid w:val="00FC21CE"/>
    <w:rsid w:val="00FD53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16CA"/>
  <w15:chartTrackingRefBased/>
  <w15:docId w15:val="{D1679BA3-5A59-4FA0-A84F-408E5B0D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18C"/>
    <w:rPr>
      <w:rFonts w:eastAsiaTheme="majorEastAsia" w:cstheme="majorBidi"/>
      <w:color w:val="272727" w:themeColor="text1" w:themeTint="D8"/>
    </w:rPr>
  </w:style>
  <w:style w:type="paragraph" w:styleId="Title">
    <w:name w:val="Title"/>
    <w:basedOn w:val="Normal"/>
    <w:next w:val="Normal"/>
    <w:link w:val="TitleChar"/>
    <w:uiPriority w:val="10"/>
    <w:qFormat/>
    <w:rsid w:val="00DC6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18C"/>
    <w:pPr>
      <w:spacing w:before="160"/>
      <w:jc w:val="center"/>
    </w:pPr>
    <w:rPr>
      <w:i/>
      <w:iCs/>
      <w:color w:val="404040" w:themeColor="text1" w:themeTint="BF"/>
    </w:rPr>
  </w:style>
  <w:style w:type="character" w:customStyle="1" w:styleId="QuoteChar">
    <w:name w:val="Quote Char"/>
    <w:basedOn w:val="DefaultParagraphFont"/>
    <w:link w:val="Quote"/>
    <w:uiPriority w:val="29"/>
    <w:rsid w:val="00DC618C"/>
    <w:rPr>
      <w:i/>
      <w:iCs/>
      <w:color w:val="404040" w:themeColor="text1" w:themeTint="BF"/>
    </w:rPr>
  </w:style>
  <w:style w:type="paragraph" w:styleId="ListParagraph">
    <w:name w:val="List Paragraph"/>
    <w:basedOn w:val="Normal"/>
    <w:uiPriority w:val="1"/>
    <w:qFormat/>
    <w:rsid w:val="00DC618C"/>
    <w:pPr>
      <w:ind w:left="720"/>
      <w:contextualSpacing/>
    </w:pPr>
  </w:style>
  <w:style w:type="character" w:styleId="IntenseEmphasis">
    <w:name w:val="Intense Emphasis"/>
    <w:basedOn w:val="DefaultParagraphFont"/>
    <w:uiPriority w:val="21"/>
    <w:qFormat/>
    <w:rsid w:val="00DC618C"/>
    <w:rPr>
      <w:i/>
      <w:iCs/>
      <w:color w:val="0F4761" w:themeColor="accent1" w:themeShade="BF"/>
    </w:rPr>
  </w:style>
  <w:style w:type="paragraph" w:styleId="IntenseQuote">
    <w:name w:val="Intense Quote"/>
    <w:basedOn w:val="Normal"/>
    <w:next w:val="Normal"/>
    <w:link w:val="IntenseQuoteChar"/>
    <w:uiPriority w:val="30"/>
    <w:qFormat/>
    <w:rsid w:val="00DC6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18C"/>
    <w:rPr>
      <w:i/>
      <w:iCs/>
      <w:color w:val="0F4761" w:themeColor="accent1" w:themeShade="BF"/>
    </w:rPr>
  </w:style>
  <w:style w:type="character" w:styleId="IntenseReference">
    <w:name w:val="Intense Reference"/>
    <w:basedOn w:val="DefaultParagraphFont"/>
    <w:uiPriority w:val="32"/>
    <w:qFormat/>
    <w:rsid w:val="00DC618C"/>
    <w:rPr>
      <w:b/>
      <w:bCs/>
      <w:smallCaps/>
      <w:color w:val="0F4761" w:themeColor="accent1" w:themeShade="BF"/>
      <w:spacing w:val="5"/>
    </w:rPr>
  </w:style>
  <w:style w:type="paragraph" w:customStyle="1" w:styleId="TableParagraph">
    <w:name w:val="Table Paragraph"/>
    <w:basedOn w:val="Normal"/>
    <w:uiPriority w:val="1"/>
    <w:qFormat/>
    <w:rsid w:val="00DC618C"/>
    <w:pPr>
      <w:widowControl w:val="0"/>
      <w:autoSpaceDE w:val="0"/>
      <w:autoSpaceDN w:val="0"/>
      <w:spacing w:after="0" w:line="240" w:lineRule="auto"/>
      <w:ind w:left="107"/>
    </w:pPr>
    <w:rPr>
      <w:rFonts w:ascii="Arial" w:eastAsia="Arial" w:hAnsi="Arial" w:cs="Times New Roman"/>
      <w:kern w:val="0"/>
      <w:lang w:val="th" w:eastAsia="th"/>
      <w14:ligatures w14:val="none"/>
    </w:rPr>
  </w:style>
  <w:style w:type="character" w:styleId="CommentReference">
    <w:name w:val="annotation reference"/>
    <w:basedOn w:val="DefaultParagraphFont"/>
    <w:uiPriority w:val="99"/>
    <w:semiHidden/>
    <w:unhideWhenUsed/>
    <w:rsid w:val="00DC618C"/>
    <w:rPr>
      <w:sz w:val="16"/>
      <w:szCs w:val="16"/>
    </w:rPr>
  </w:style>
  <w:style w:type="paragraph" w:styleId="CommentText">
    <w:name w:val="annotation text"/>
    <w:basedOn w:val="Normal"/>
    <w:link w:val="CommentTextChar"/>
    <w:uiPriority w:val="99"/>
    <w:unhideWhenUsed/>
    <w:rsid w:val="00DC618C"/>
    <w:pPr>
      <w:spacing w:line="240" w:lineRule="auto"/>
    </w:pPr>
    <w:rPr>
      <w:sz w:val="20"/>
      <w:szCs w:val="20"/>
    </w:rPr>
  </w:style>
  <w:style w:type="character" w:customStyle="1" w:styleId="CommentTextChar">
    <w:name w:val="Comment Text Char"/>
    <w:basedOn w:val="DefaultParagraphFont"/>
    <w:link w:val="CommentText"/>
    <w:uiPriority w:val="99"/>
    <w:rsid w:val="00DC618C"/>
    <w:rPr>
      <w:sz w:val="20"/>
      <w:szCs w:val="20"/>
    </w:rPr>
  </w:style>
  <w:style w:type="paragraph" w:styleId="CommentSubject">
    <w:name w:val="annotation subject"/>
    <w:basedOn w:val="CommentText"/>
    <w:next w:val="CommentText"/>
    <w:link w:val="CommentSubjectChar"/>
    <w:uiPriority w:val="99"/>
    <w:semiHidden/>
    <w:unhideWhenUsed/>
    <w:rsid w:val="00DC618C"/>
    <w:rPr>
      <w:b/>
      <w:bCs/>
    </w:rPr>
  </w:style>
  <w:style w:type="character" w:customStyle="1" w:styleId="CommentSubjectChar">
    <w:name w:val="Comment Subject Char"/>
    <w:basedOn w:val="CommentTextChar"/>
    <w:link w:val="CommentSubject"/>
    <w:uiPriority w:val="99"/>
    <w:semiHidden/>
    <w:rsid w:val="00DC618C"/>
    <w:rPr>
      <w:b/>
      <w:bCs/>
      <w:sz w:val="20"/>
      <w:szCs w:val="20"/>
    </w:rPr>
  </w:style>
  <w:style w:type="table" w:styleId="TableGrid">
    <w:name w:val="Table Grid"/>
    <w:basedOn w:val="TableNormal"/>
    <w:uiPriority w:val="39"/>
    <w:rsid w:val="009D2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20C2"/>
    <w:pPr>
      <w:widowControl w:val="0"/>
      <w:autoSpaceDE w:val="0"/>
      <w:autoSpaceDN w:val="0"/>
      <w:spacing w:after="0" w:line="240" w:lineRule="auto"/>
    </w:pPr>
    <w:rPr>
      <w:rFonts w:ascii="Arial" w:eastAsia="Arial" w:hAnsi="Arial" w:cs="Times New Roman"/>
      <w:kern w:val="0"/>
      <w:sz w:val="24"/>
      <w:szCs w:val="24"/>
      <w:lang w:val="th" w:eastAsia="th"/>
      <w14:ligatures w14:val="none"/>
    </w:rPr>
  </w:style>
  <w:style w:type="character" w:customStyle="1" w:styleId="BodyTextChar">
    <w:name w:val="Body Text Char"/>
    <w:basedOn w:val="DefaultParagraphFont"/>
    <w:link w:val="BodyText"/>
    <w:uiPriority w:val="1"/>
    <w:rsid w:val="009D20C2"/>
    <w:rPr>
      <w:rFonts w:ascii="Arial" w:eastAsia="Arial" w:hAnsi="Arial" w:cs="Times New Roman"/>
      <w:kern w:val="0"/>
      <w:sz w:val="24"/>
      <w:szCs w:val="24"/>
      <w:lang w:val="th" w:eastAsia="th"/>
      <w14:ligatures w14:val="none"/>
    </w:rPr>
  </w:style>
  <w:style w:type="character" w:styleId="Hyperlink">
    <w:name w:val="Hyperlink"/>
    <w:basedOn w:val="DefaultParagraphFont"/>
    <w:uiPriority w:val="99"/>
    <w:unhideWhenUsed/>
    <w:rsid w:val="008C4A04"/>
    <w:rPr>
      <w:color w:val="467886" w:themeColor="hyperlink"/>
      <w:u w:val="single"/>
    </w:rPr>
  </w:style>
  <w:style w:type="character" w:styleId="UnresolvedMention">
    <w:name w:val="Unresolved Mention"/>
    <w:basedOn w:val="DefaultParagraphFont"/>
    <w:uiPriority w:val="99"/>
    <w:semiHidden/>
    <w:unhideWhenUsed/>
    <w:rsid w:val="008C4A04"/>
    <w:rPr>
      <w:color w:val="605E5C"/>
      <w:shd w:val="clear" w:color="auto" w:fill="E1DFDD"/>
    </w:rPr>
  </w:style>
  <w:style w:type="paragraph" w:styleId="BalloonText">
    <w:name w:val="Balloon Text"/>
    <w:basedOn w:val="Normal"/>
    <w:link w:val="BalloonTextChar"/>
    <w:uiPriority w:val="99"/>
    <w:semiHidden/>
    <w:unhideWhenUsed/>
    <w:rsid w:val="00F11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E41"/>
    <w:rPr>
      <w:rFonts w:ascii="Segoe UI" w:hAnsi="Segoe UI" w:cs="Segoe UI"/>
      <w:sz w:val="18"/>
      <w:szCs w:val="18"/>
    </w:rPr>
  </w:style>
  <w:style w:type="character" w:styleId="FollowedHyperlink">
    <w:name w:val="FollowedHyperlink"/>
    <w:basedOn w:val="DefaultParagraphFont"/>
    <w:uiPriority w:val="99"/>
    <w:semiHidden/>
    <w:unhideWhenUsed/>
    <w:rsid w:val="00DF2C5A"/>
    <w:rPr>
      <w:color w:val="96607D" w:themeColor="followedHyperlink"/>
      <w:u w:val="single"/>
    </w:rPr>
  </w:style>
  <w:style w:type="paragraph" w:styleId="HTMLPreformatted">
    <w:name w:val="HTML Preformatted"/>
    <w:basedOn w:val="Normal"/>
    <w:link w:val="HTMLPreformattedChar"/>
    <w:uiPriority w:val="99"/>
    <w:semiHidden/>
    <w:unhideWhenUsed/>
    <w:rsid w:val="00D7263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2630"/>
    <w:rPr>
      <w:rFonts w:ascii="Consolas" w:hAnsi="Consolas"/>
      <w:sz w:val="20"/>
      <w:szCs w:val="20"/>
    </w:rPr>
  </w:style>
  <w:style w:type="paragraph" w:styleId="Revision">
    <w:name w:val="Revision"/>
    <w:hidden/>
    <w:uiPriority w:val="99"/>
    <w:semiHidden/>
    <w:rsid w:val="001F311D"/>
    <w:pPr>
      <w:spacing w:after="0" w:line="240" w:lineRule="auto"/>
    </w:pPr>
  </w:style>
  <w:style w:type="paragraph" w:styleId="NormalWeb">
    <w:name w:val="Normal (Web)"/>
    <w:basedOn w:val="Normal"/>
    <w:uiPriority w:val="99"/>
    <w:semiHidden/>
    <w:unhideWhenUsed/>
    <w:rsid w:val="00783D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gapec.sharepoint.com/sites/acs/SCE/BCG/Submissions/Forms/AllIte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3772</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 APEC Sec</dc:creator>
  <cp:keywords/>
  <dc:description/>
  <cp:lastModifiedBy>Kamonluck Butsomsri</cp:lastModifiedBy>
  <cp:revision>3</cp:revision>
  <cp:lastPrinted>2025-01-29T09:10:00Z</cp:lastPrinted>
  <dcterms:created xsi:type="dcterms:W3CDTF">2026-04-17T04:32:00Z</dcterms:created>
  <dcterms:modified xsi:type="dcterms:W3CDTF">2026-04-17T04:38:00Z</dcterms:modified>
</cp:coreProperties>
</file>